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75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4D4D4D"/>
          <w:spacing w:val="0"/>
          <w:sz w:val="33"/>
          <w:szCs w:val="33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关于发布《2年期国债期货合约》及相关业务规则的通知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color w:val="4D4D4D"/>
          <w:sz w:val="21"/>
          <w:szCs w:val="21"/>
          <w:lang w:eastAsia="zh-CN"/>
        </w:rPr>
        <w:t>各位投资者：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  <w:lang w:eastAsia="zh-CN"/>
        </w:rPr>
        <w:t>接中国金融期货交易所通知，</w:t>
      </w: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《2年期国债期货合约》《中国金融期货交易所2年期国债期货合约交易细则》《中国金融期货交易所风险控制管理办法》（修订版）和《中国金融期货交易所国债期货合约交割细则》（修订版）已报告中国证监会，现予以发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以上合约、规则自发布之日起实施。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附件：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   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"http://www.cffex.com.cn/u/cms/www/201808/061626044pnr.pdf" \o "1.2年期国债期货合约" \t "http://www.cffex.com.cn/jysgg/20180806/_self" </w:instrTex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t>1. 2年期国债期货合约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   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"http://www.cffex.com.cn/u/cms/www/201808/06162706wq1w.pdf" \o "附件2：中国金融期货交易所2年期国债期货合约交易细则.pdf" \t "http://www.cffex.com.cn/jysgg/20180806/_self" </w:instrTex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t>2. 中国金融期货交易所2年期国债期货合约交易细则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   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"http://www.cffex.com.cn/u/cms/www/201808/06162730bvxh.pdf" \o "附件3：中国金融期货交易所风险控制管理办法.pdf" \t "http://www.cffex.com.cn/jysgg/20180806/_self" </w:instrTex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t>3. 中国金融期货交易所风险控制管理办法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   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"http://www.cffex.com.cn/u/cms/www/201808/061627569n7v.pdf" \o "附件4：《中国金融期货交易所风险控制管理办法》修订对照表.pdf" \t "http://www.cffex.com.cn/jysgg/20180806/_self" </w:instrTex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t>4. 《中国金融期货交易所风险控制管理办法》修订对照表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   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"http://www.cffex.com.cn/u/cms/www/201808/06162828ivgq.pdf" \o "附件5：中国金融期货交易所国债期货合约交割细则.pdf" \t "http://www.cffex.com.cn/jysgg/20180806/_self" </w:instrTex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t>5. 中国金融期货交易所国债期货合约交割细则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   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"http://www.cffex.com.cn/u/cms/www/201808/06162910sych.pdf" \o "附件6：《中国金融期货交易所国债期货交割细则》修订对照表.pdf" \t "http://www.cffex.com.cn/jysgg/20180806/_self" </w:instrTex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t>6. 《中国金融期货交易所国债期货交割细则》修订对照表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  <w:lang w:eastAsia="zh-CN"/>
        </w:rPr>
        <w:t>国盛期货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420"/>
        <w:jc w:val="right"/>
        <w:rPr>
          <w:rFonts w:hint="eastAsia" w:ascii="微软雅黑" w:hAnsi="微软雅黑" w:eastAsia="微软雅黑" w:cs="微软雅黑"/>
          <w:color w:val="4D4D4D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D4D4D"/>
          <w:spacing w:val="0"/>
          <w:sz w:val="21"/>
          <w:szCs w:val="21"/>
          <w:bdr w:val="none" w:color="auto" w:sz="0" w:space="0"/>
        </w:rPr>
        <w:t>                                  2018年8月6日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9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2018-08-09T06:42:35Z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