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3254D8">
      <w:pPr>
        <w:keepNext w:val="0"/>
        <w:keepLines w:val="0"/>
        <w:pageBreakBefore w:val="0"/>
        <w:widowControl/>
        <w:kinsoku/>
        <w:wordWrap/>
        <w:overflowPunct/>
        <w:topLinePunct w:val="0"/>
        <w:autoSpaceDE/>
        <w:autoSpaceDN/>
        <w:bidi w:val="0"/>
        <w:adjustRightInd/>
        <w:snapToGrid/>
        <w:spacing w:before="0" w:after="541" w:afterLines="150" w:line="660" w:lineRule="exact"/>
        <w:jc w:val="center"/>
        <w:textAlignment w:val="auto"/>
        <w:rPr>
          <w:rFonts w:hint="default" w:ascii="方正小标宋简体" w:hAnsi="方正小标宋简体" w:eastAsia="方正小标宋简体"/>
          <w:sz w:val="44"/>
          <w:szCs w:val="44"/>
          <w:lang w:val="en-US" w:eastAsia="zh-CN"/>
        </w:rPr>
      </w:pPr>
      <w:r>
        <w:rPr>
          <w:rFonts w:hint="eastAsia" w:ascii="方正小标宋简体" w:hAnsi="方正小标宋简体" w:eastAsia="方正小标宋简体"/>
          <w:sz w:val="44"/>
          <w:szCs w:val="44"/>
        </w:rPr>
        <w:t>国盛期货党支部召开</w:t>
      </w:r>
      <w:r>
        <w:rPr>
          <w:rFonts w:hint="eastAsia" w:ascii="方正小标宋简体" w:hAnsi="方正小标宋简体" w:eastAsia="方正小标宋简体"/>
          <w:sz w:val="44"/>
          <w:szCs w:val="44"/>
          <w:lang w:val="en-US" w:eastAsia="zh-CN"/>
        </w:rPr>
        <w:t>党员大会</w:t>
      </w:r>
      <w:r>
        <w:rPr>
          <w:rFonts w:hint="eastAsia" w:ascii="方正小标宋简体" w:hAnsi="方正小标宋简体" w:eastAsia="方正小标宋简体"/>
          <w:sz w:val="44"/>
          <w:szCs w:val="44"/>
          <w:lang w:val="en-US" w:eastAsia="zh-CN"/>
        </w:rPr>
        <w:br w:type="textWrapping"/>
      </w:r>
      <w:r>
        <w:rPr>
          <w:rFonts w:hint="eastAsia" w:ascii="方正小标宋简体" w:hAnsi="方正小标宋简体" w:eastAsia="方正小标宋简体"/>
          <w:sz w:val="44"/>
          <w:szCs w:val="44"/>
          <w:lang w:val="en-US" w:eastAsia="zh-CN"/>
        </w:rPr>
        <w:t>推动树立和践行</w:t>
      </w:r>
      <w:r>
        <w:rPr>
          <w:rFonts w:hint="eastAsia" w:ascii="方正小标宋简体" w:hAnsi="方正小标宋简体" w:eastAsia="方正小标宋简体"/>
          <w:sz w:val="44"/>
          <w:szCs w:val="44"/>
        </w:rPr>
        <w:t>正确政绩观</w:t>
      </w:r>
      <w:r>
        <w:rPr>
          <w:rFonts w:hint="eastAsia" w:ascii="方正小标宋简体" w:hAnsi="方正小标宋简体" w:eastAsia="方正小标宋简体"/>
          <w:sz w:val="44"/>
          <w:szCs w:val="44"/>
          <w:lang w:val="en-US" w:eastAsia="zh-CN"/>
        </w:rPr>
        <w:t>常态化长效化</w:t>
      </w:r>
    </w:p>
    <w:p w14:paraId="7E4BCAD6">
      <w:pPr>
        <w:keepNext w:val="0"/>
        <w:keepLines w:val="0"/>
        <w:pageBreakBefore w:val="0"/>
        <w:widowControl/>
        <w:kinsoku/>
        <w:wordWrap/>
        <w:overflowPunct/>
        <w:topLinePunct w:val="0"/>
        <w:autoSpaceDE/>
        <w:autoSpaceDN/>
        <w:bidi w:val="0"/>
        <w:adjustRightInd/>
        <w:snapToGrid/>
        <w:spacing w:before="0" w:after="0" w:line="560" w:lineRule="exact"/>
        <w:ind w:firstLine="641"/>
        <w:jc w:val="left"/>
        <w:textAlignment w:val="auto"/>
      </w:pPr>
      <w:r>
        <w:rPr>
          <w:rFonts w:hint="eastAsia" w:ascii="仿宋_GB2312" w:hAnsi="仿宋_GB2312" w:eastAsia="仿宋_GB2312"/>
          <w:sz w:val="32"/>
          <w:lang w:val="en-US" w:eastAsia="zh-CN"/>
        </w:rPr>
        <w:t>近日</w:t>
      </w:r>
      <w:r>
        <w:rPr>
          <w:rFonts w:hint="eastAsia" w:ascii="仿宋_GB2312" w:hAnsi="仿宋_GB2312" w:eastAsia="仿宋_GB2312"/>
          <w:sz w:val="32"/>
        </w:rPr>
        <w:t>，国盛期货党支部召开2026年第四次党员大会，深入学习贯彻</w:t>
      </w:r>
      <w:r>
        <w:rPr>
          <w:rFonts w:hint="eastAsia" w:ascii="仿宋_GB2312" w:hAnsi="仿宋_GB2312" w:eastAsia="仿宋_GB2312"/>
          <w:sz w:val="32"/>
          <w:lang w:eastAsia="zh-CN"/>
        </w:rPr>
        <w:t>习近平总书记关于树立和践行正确政绩观学习教育的重要讲话和重要指示精神、</w:t>
      </w:r>
      <w:r>
        <w:rPr>
          <w:rFonts w:hint="eastAsia" w:ascii="仿宋_GB2312" w:hAnsi="仿宋_GB2312" w:eastAsia="仿宋_GB2312"/>
          <w:sz w:val="32"/>
        </w:rPr>
        <w:t>中央党的建设工作领导小组会议</w:t>
      </w:r>
      <w:r>
        <w:rPr>
          <w:rFonts w:hint="eastAsia" w:ascii="仿宋_GB2312" w:hAnsi="仿宋_GB2312" w:eastAsia="仿宋_GB2312"/>
          <w:sz w:val="32"/>
          <w:lang w:val="en-US" w:eastAsia="zh-CN"/>
        </w:rPr>
        <w:t>精神</w:t>
      </w:r>
      <w:r>
        <w:rPr>
          <w:rFonts w:hint="eastAsia" w:ascii="仿宋_GB2312" w:hAnsi="仿宋_GB2312" w:eastAsia="仿宋_GB2312"/>
          <w:sz w:val="32"/>
        </w:rPr>
        <w:t>、</w:t>
      </w:r>
      <w:r>
        <w:rPr>
          <w:rFonts w:hint="eastAsia" w:ascii="仿宋_GB2312" w:hAnsi="仿宋_GB2312" w:eastAsia="仿宋_GB2312"/>
          <w:sz w:val="32"/>
          <w:lang w:val="en-US" w:eastAsia="zh-CN"/>
        </w:rPr>
        <w:t>江西</w:t>
      </w:r>
      <w:r>
        <w:rPr>
          <w:rFonts w:hint="eastAsia" w:ascii="仿宋_GB2312" w:hAnsi="仿宋_GB2312" w:eastAsia="仿宋_GB2312"/>
          <w:sz w:val="32"/>
        </w:rPr>
        <w:t>省委常委会扩大会议精神</w:t>
      </w:r>
      <w:r>
        <w:rPr>
          <w:rFonts w:hint="eastAsia" w:ascii="仿宋_GB2312" w:hAnsi="仿宋_GB2312" w:eastAsia="仿宋_GB2312"/>
          <w:sz w:val="32"/>
          <w:lang w:val="en-US" w:eastAsia="zh-CN"/>
        </w:rPr>
        <w:t>等重要会议精神</w:t>
      </w:r>
      <w:r>
        <w:rPr>
          <w:rFonts w:hint="eastAsia" w:ascii="仿宋_GB2312" w:hAnsi="仿宋_GB2312" w:eastAsia="仿宋_GB2312"/>
          <w:sz w:val="32"/>
        </w:rPr>
        <w:t>，全面总结党支部学习教育工作，研究部署巩固拓展学习教育</w:t>
      </w:r>
      <w:bookmarkStart w:id="0" w:name="_GoBack"/>
      <w:bookmarkEnd w:id="0"/>
      <w:r>
        <w:rPr>
          <w:rFonts w:hint="eastAsia" w:ascii="仿宋_GB2312" w:hAnsi="仿宋_GB2312" w:eastAsia="仿宋_GB2312"/>
          <w:sz w:val="32"/>
        </w:rPr>
        <w:t>成果</w:t>
      </w:r>
      <w:r>
        <w:rPr>
          <w:rFonts w:hint="eastAsia" w:ascii="仿宋_GB2312" w:hAnsi="仿宋_GB2312" w:eastAsia="仿宋_GB2312"/>
          <w:sz w:val="32"/>
          <w:lang w:eastAsia="zh-CN"/>
        </w:rPr>
        <w:t>，</w:t>
      </w:r>
      <w:r>
        <w:rPr>
          <w:rFonts w:hint="eastAsia" w:ascii="仿宋_GB2312" w:hAnsi="仿宋_GB2312" w:eastAsia="仿宋_GB2312"/>
          <w:sz w:val="32"/>
        </w:rPr>
        <w:t>推动树立和践行正确政绩观常态化长效化。</w:t>
      </w:r>
    </w:p>
    <w:p w14:paraId="38163292">
      <w:pPr>
        <w:keepNext w:val="0"/>
        <w:keepLines w:val="0"/>
        <w:pageBreakBefore w:val="0"/>
        <w:widowControl/>
        <w:kinsoku/>
        <w:wordWrap/>
        <w:overflowPunct/>
        <w:topLinePunct w:val="0"/>
        <w:autoSpaceDE/>
        <w:autoSpaceDN/>
        <w:bidi w:val="0"/>
        <w:adjustRightInd/>
        <w:snapToGrid/>
        <w:spacing w:before="0" w:after="0" w:line="560" w:lineRule="exact"/>
        <w:ind w:firstLine="641"/>
        <w:jc w:val="left"/>
        <w:textAlignment w:val="auto"/>
      </w:pPr>
      <w:r>
        <w:rPr>
          <w:rFonts w:hint="eastAsia" w:ascii="仿宋_GB2312" w:hAnsi="仿宋_GB2312" w:eastAsia="仿宋_GB2312"/>
          <w:sz w:val="32"/>
        </w:rPr>
        <w:t>会议指出，树立和践行正确政绩观是一项长期任务，必须久久为功。全体党员要切实把思想和行动统一到党中央决策部署和上级工作要求上来，深刻认识树立和践行正确政绩观的重大意义，持续做到立党为公、为民造福、科学决策、真抓实干，努力创造经得起实践、人民、历史检验的实绩。</w:t>
      </w:r>
    </w:p>
    <w:p w14:paraId="46D90E08">
      <w:pPr>
        <w:keepNext w:val="0"/>
        <w:keepLines w:val="0"/>
        <w:pageBreakBefore w:val="0"/>
        <w:widowControl/>
        <w:kinsoku/>
        <w:wordWrap/>
        <w:overflowPunct/>
        <w:topLinePunct w:val="0"/>
        <w:autoSpaceDE/>
        <w:autoSpaceDN/>
        <w:bidi w:val="0"/>
        <w:adjustRightInd/>
        <w:snapToGrid/>
        <w:spacing w:before="0" w:after="0" w:line="560" w:lineRule="exact"/>
        <w:ind w:firstLine="641"/>
        <w:jc w:val="left"/>
        <w:textAlignment w:val="auto"/>
      </w:pPr>
      <w:r>
        <w:rPr>
          <w:rFonts w:hint="eastAsia" w:ascii="仿宋_GB2312" w:hAnsi="仿宋_GB2312" w:eastAsia="仿宋_GB2312"/>
          <w:sz w:val="32"/>
        </w:rPr>
        <w:t>会议全面回顾了党支部学习教育开展情况。自</w:t>
      </w:r>
      <w:r>
        <w:rPr>
          <w:rFonts w:hint="eastAsia" w:ascii="仿宋_GB2312" w:hAnsi="仿宋_GB2312" w:eastAsia="仿宋_GB2312"/>
          <w:sz w:val="32"/>
          <w:lang w:val="en-US" w:eastAsia="zh-CN"/>
        </w:rPr>
        <w:t>学习教育</w:t>
      </w:r>
      <w:r>
        <w:rPr>
          <w:rFonts w:hint="eastAsia" w:ascii="仿宋_GB2312" w:hAnsi="仿宋_GB2312" w:eastAsia="仿宋_GB2312"/>
          <w:sz w:val="32"/>
        </w:rPr>
        <w:t>启动以来，党支部紧扣</w:t>
      </w:r>
      <w:r>
        <w:rPr>
          <w:rFonts w:hint="eastAsia" w:ascii="仿宋_GB2312" w:hAnsi="仿宋_GB2312" w:eastAsia="仿宋_GB2312"/>
          <w:sz w:val="32"/>
          <w:lang w:eastAsia="zh-CN"/>
        </w:rPr>
        <w:t>“</w:t>
      </w:r>
      <w:r>
        <w:rPr>
          <w:rFonts w:hint="eastAsia" w:ascii="仿宋_GB2312" w:hAnsi="仿宋_GB2312" w:eastAsia="仿宋_GB2312"/>
          <w:sz w:val="32"/>
        </w:rPr>
        <w:t>立党为公、为民造福、科学决策、真抓实干</w:t>
      </w:r>
      <w:r>
        <w:rPr>
          <w:rFonts w:hint="eastAsia" w:ascii="仿宋_GB2312" w:hAnsi="仿宋_GB2312" w:eastAsia="仿宋_GB2312"/>
          <w:sz w:val="32"/>
          <w:lang w:eastAsia="zh-CN"/>
        </w:rPr>
        <w:t>”</w:t>
      </w:r>
      <w:r>
        <w:rPr>
          <w:rFonts w:hint="eastAsia" w:ascii="仿宋_GB2312" w:hAnsi="仿宋_GB2312" w:eastAsia="仿宋_GB2312"/>
          <w:sz w:val="32"/>
        </w:rPr>
        <w:t>总要求，一体推进学查改，先后组织集中学习研讨、专题党课、</w:t>
      </w:r>
      <w:r>
        <w:rPr>
          <w:rFonts w:hint="eastAsia" w:ascii="仿宋_GB2312" w:hAnsi="仿宋_GB2312" w:eastAsia="仿宋_GB2312"/>
          <w:sz w:val="32"/>
          <w:lang w:eastAsia="zh-CN"/>
        </w:rPr>
        <w:t>“</w:t>
      </w:r>
      <w:r>
        <w:rPr>
          <w:rFonts w:hint="eastAsia" w:ascii="仿宋_GB2312" w:hAnsi="仿宋_GB2312" w:eastAsia="仿宋_GB2312"/>
          <w:sz w:val="32"/>
        </w:rPr>
        <w:t>以案为戒 检身正己</w:t>
      </w:r>
      <w:r>
        <w:rPr>
          <w:rFonts w:hint="eastAsia" w:ascii="仿宋_GB2312" w:hAnsi="仿宋_GB2312" w:eastAsia="仿宋_GB2312"/>
          <w:sz w:val="32"/>
          <w:lang w:eastAsia="zh-CN"/>
        </w:rPr>
        <w:t>”</w:t>
      </w:r>
      <w:r>
        <w:rPr>
          <w:rFonts w:hint="eastAsia" w:ascii="仿宋_GB2312" w:hAnsi="仿宋_GB2312" w:eastAsia="仿宋_GB2312"/>
          <w:sz w:val="32"/>
        </w:rPr>
        <w:t>警示教育思想交流会、参观中国证券博物馆和陈云纪念馆红色研学等系列活动，覆盖支部全体党员，推动学习教育走深走实。</w:t>
      </w:r>
    </w:p>
    <w:p w14:paraId="6EF39862">
      <w:pPr>
        <w:keepNext w:val="0"/>
        <w:keepLines w:val="0"/>
        <w:pageBreakBefore w:val="0"/>
        <w:widowControl/>
        <w:kinsoku/>
        <w:wordWrap/>
        <w:overflowPunct/>
        <w:topLinePunct w:val="0"/>
        <w:autoSpaceDE/>
        <w:autoSpaceDN/>
        <w:bidi w:val="0"/>
        <w:adjustRightInd/>
        <w:snapToGrid/>
        <w:spacing w:before="0" w:after="0" w:line="560" w:lineRule="exact"/>
        <w:ind w:firstLine="641"/>
        <w:jc w:val="left"/>
        <w:textAlignment w:val="auto"/>
      </w:pPr>
      <w:r>
        <w:rPr>
          <w:rFonts w:hint="eastAsia" w:ascii="仿宋_GB2312" w:hAnsi="仿宋_GB2312" w:eastAsia="仿宋_GB2312"/>
          <w:sz w:val="32"/>
        </w:rPr>
        <w:t>会议要求，学习教育收官不是终点，而是常态长效的新起点。要正视学习教育中存在的不足，持续深化理论武装，把政绩观教育作为经常性工作来抓；持续抓好整改整治，认真开展</w:t>
      </w:r>
      <w:r>
        <w:rPr>
          <w:rFonts w:hint="eastAsia" w:ascii="仿宋_GB2312" w:hAnsi="仿宋_GB2312" w:eastAsia="仿宋_GB2312"/>
          <w:sz w:val="32"/>
          <w:lang w:eastAsia="zh-CN"/>
        </w:rPr>
        <w:t>“</w:t>
      </w:r>
      <w:r>
        <w:rPr>
          <w:rFonts w:hint="eastAsia" w:ascii="仿宋_GB2312" w:hAnsi="仿宋_GB2312" w:eastAsia="仿宋_GB2312"/>
          <w:sz w:val="32"/>
        </w:rPr>
        <w:t>回头看</w:t>
      </w:r>
      <w:r>
        <w:rPr>
          <w:rFonts w:hint="eastAsia" w:ascii="仿宋_GB2312" w:hAnsi="仿宋_GB2312" w:eastAsia="仿宋_GB2312"/>
          <w:sz w:val="32"/>
          <w:lang w:eastAsia="zh-CN"/>
        </w:rPr>
        <w:t>”</w:t>
      </w:r>
      <w:r>
        <w:rPr>
          <w:rFonts w:hint="eastAsia" w:ascii="仿宋_GB2312" w:hAnsi="仿宋_GB2312" w:eastAsia="仿宋_GB2312"/>
          <w:sz w:val="32"/>
        </w:rPr>
        <w:t>，防止问题反弹回潮；持续健全长效机制，从制度源头上防范政绩观偏差，以钉钉子精神推动学习教育成果转化为高质量发展实效。</w:t>
      </w:r>
    </w:p>
    <w:p w14:paraId="58D92788">
      <w:pPr>
        <w:keepNext w:val="0"/>
        <w:keepLines w:val="0"/>
        <w:pageBreakBefore w:val="0"/>
        <w:widowControl/>
        <w:kinsoku/>
        <w:wordWrap/>
        <w:overflowPunct/>
        <w:topLinePunct w:val="0"/>
        <w:autoSpaceDE/>
        <w:autoSpaceDN/>
        <w:bidi w:val="0"/>
        <w:adjustRightInd/>
        <w:snapToGrid/>
        <w:spacing w:before="0" w:after="0" w:line="560" w:lineRule="exact"/>
        <w:ind w:firstLine="641"/>
        <w:jc w:val="left"/>
        <w:textAlignment w:val="auto"/>
      </w:pPr>
      <w:r>
        <w:rPr>
          <w:rFonts w:hint="default" w:ascii="仿宋_GB2312" w:hAnsi="仿宋_GB2312" w:eastAsia="仿宋_GB2312"/>
          <w:sz w:val="32"/>
          <w:lang w:val="en-US"/>
        </w:rPr>
        <w:drawing>
          <wp:anchor distT="0" distB="0" distL="114300" distR="114300" simplePos="0" relativeHeight="251659264" behindDoc="0" locked="0" layoutInCell="1" allowOverlap="1">
            <wp:simplePos x="0" y="0"/>
            <wp:positionH relativeFrom="column">
              <wp:posOffset>170180</wp:posOffset>
            </wp:positionH>
            <wp:positionV relativeFrom="paragraph">
              <wp:posOffset>1657350</wp:posOffset>
            </wp:positionV>
            <wp:extent cx="5281930" cy="3959860"/>
            <wp:effectExtent l="0" t="0" r="13970" b="2540"/>
            <wp:wrapTopAndBottom/>
            <wp:docPr id="1" name="图片 1" descr="0093be20-d874-415c-9aa9-361e12a3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093be20-d874-415c-9aa9-361e12a36405"/>
                    <pic:cNvPicPr>
                      <a:picLocks noChangeAspect="1"/>
                    </pic:cNvPicPr>
                  </pic:nvPicPr>
                  <pic:blipFill>
                    <a:blip r:embed="rId6"/>
                    <a:stretch>
                      <a:fillRect/>
                    </a:stretch>
                  </pic:blipFill>
                  <pic:spPr>
                    <a:xfrm>
                      <a:off x="0" y="0"/>
                      <a:ext cx="5281930" cy="3959860"/>
                    </a:xfrm>
                    <a:prstGeom prst="rect">
                      <a:avLst/>
                    </a:prstGeom>
                  </pic:spPr>
                </pic:pic>
              </a:graphicData>
            </a:graphic>
          </wp:anchor>
        </w:drawing>
      </w:r>
      <w:r>
        <w:rPr>
          <w:rFonts w:hint="eastAsia" w:ascii="仿宋_GB2312" w:hAnsi="仿宋_GB2312" w:eastAsia="仿宋_GB2312"/>
          <w:sz w:val="32"/>
        </w:rPr>
        <w:t>与会党员纷纷表示，将以此次总结会议为契机，把正确政绩观内化于心、外化于行，立足本职岗位，以更加饱满的政治热情、更加务实的工作作风、更加突出的工作业绩，为公司实现高质量发展、服务实体经济贡献力量。</w:t>
      </w:r>
    </w:p>
    <w:sectPr>
      <w:pgSz w:w="12240" w:h="15840"/>
      <w:pgMar w:top="1814" w:right="1474" w:bottom="1701"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1C73FD2"/>
    <w:rsid w:val="27466C59"/>
    <w:rsid w:val="2E8B3126"/>
    <w:rsid w:val="37841E99"/>
    <w:rsid w:val="3A98031C"/>
    <w:rsid w:val="4E233F7A"/>
    <w:rsid w:val="50566671"/>
    <w:rsid w:val="67B6484B"/>
  </w:rsids>
  <m:mathPr>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5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6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4"/>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46"/>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1"/>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4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6"/>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2"/>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55"/>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38"/>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57"/>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62"/>
    <w:unhideWhenUsed/>
    <w:qFormat/>
    <w:uiPriority w:val="99"/>
    <w:pPr>
      <w:tabs>
        <w:tab w:val="center" w:pos="4680"/>
        <w:tab w:val="right" w:pos="9360"/>
      </w:tabs>
      <w:spacing w:after="0" w:line="240" w:lineRule="auto"/>
    </w:pPr>
  </w:style>
  <w:style w:type="paragraph" w:styleId="25">
    <w:name w:val="header"/>
    <w:basedOn w:val="1"/>
    <w:link w:val="142"/>
    <w:unhideWhenUsed/>
    <w:qFormat/>
    <w:uiPriority w:val="99"/>
    <w:pPr>
      <w:tabs>
        <w:tab w:val="center" w:pos="4680"/>
        <w:tab w:val="right" w:pos="9360"/>
      </w:tabs>
      <w:spacing w:after="0" w:line="240" w:lineRule="auto"/>
    </w:pPr>
  </w:style>
  <w:style w:type="paragraph" w:styleId="26">
    <w:name w:val="Subtitle"/>
    <w:basedOn w:val="1"/>
    <w:next w:val="1"/>
    <w:link w:val="14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60"/>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58"/>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paragraph" w:customStyle="1" w:styleId="135">
    <w:name w:val="TOC Heading"/>
    <w:basedOn w:val="3"/>
    <w:next w:val="1"/>
    <w:semiHidden/>
    <w:unhideWhenUsed/>
    <w:qFormat/>
    <w:uiPriority w:val="39"/>
    <w:pPr>
      <w:outlineLvl w:val="9"/>
    </w:pPr>
  </w:style>
  <w:style w:type="character" w:customStyle="1" w:styleId="136">
    <w:name w:val="Intense Quote Char"/>
    <w:basedOn w:val="132"/>
    <w:link w:val="137"/>
    <w:qFormat/>
    <w:uiPriority w:val="30"/>
    <w:rPr>
      <w:b/>
      <w:bCs/>
      <w:i/>
      <w:iCs/>
      <w:color w:val="4F81BD" w:themeColor="accent1"/>
      <w14:textFill>
        <w14:solidFill>
          <w14:schemeClr w14:val="accent1"/>
        </w14:solidFill>
      </w14:textFill>
    </w:rPr>
  </w:style>
  <w:style w:type="paragraph" w:styleId="137">
    <w:name w:val="Intense Quote"/>
    <w:basedOn w:val="1"/>
    <w:next w:val="1"/>
    <w:link w:val="136"/>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38">
    <w:name w:val="Body Text 3 Char"/>
    <w:basedOn w:val="132"/>
    <w:link w:val="17"/>
    <w:qFormat/>
    <w:uiPriority w:val="99"/>
    <w:rPr>
      <w:sz w:val="16"/>
      <w:szCs w:val="16"/>
    </w:rPr>
  </w:style>
  <w:style w:type="character" w:customStyle="1" w:styleId="139">
    <w:name w:val="Book Title"/>
    <w:basedOn w:val="132"/>
    <w:qFormat/>
    <w:uiPriority w:val="33"/>
    <w:rPr>
      <w:b/>
      <w:bCs/>
      <w:smallCaps/>
      <w:spacing w:val="5"/>
    </w:rPr>
  </w:style>
  <w:style w:type="character" w:customStyle="1" w:styleId="140">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1">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2">
    <w:name w:val="Header Char"/>
    <w:basedOn w:val="132"/>
    <w:link w:val="25"/>
    <w:qFormat/>
    <w:uiPriority w:val="99"/>
  </w:style>
  <w:style w:type="character" w:customStyle="1" w:styleId="14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44">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45">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47">
    <w:name w:val="Intense Emphasis"/>
    <w:basedOn w:val="132"/>
    <w:qFormat/>
    <w:uiPriority w:val="21"/>
    <w:rPr>
      <w:b/>
      <w:bCs/>
      <w:i/>
      <w:iCs/>
      <w:color w:val="4F81BD" w:themeColor="accent1"/>
      <w14:textFill>
        <w14:solidFill>
          <w14:schemeClr w14:val="accent1"/>
        </w14:solidFill>
      </w14:textFill>
    </w:rPr>
  </w:style>
  <w:style w:type="paragraph" w:styleId="148">
    <w:name w:val="List Paragraph"/>
    <w:basedOn w:val="1"/>
    <w:qFormat/>
    <w:uiPriority w:val="34"/>
    <w:pPr>
      <w:ind w:left="720"/>
      <w:contextualSpacing/>
    </w:pPr>
  </w:style>
  <w:style w:type="character" w:customStyle="1" w:styleId="149">
    <w:name w:val="Quote Char"/>
    <w:basedOn w:val="132"/>
    <w:link w:val="150"/>
    <w:qFormat/>
    <w:uiPriority w:val="29"/>
    <w:rPr>
      <w:i/>
      <w:iCs/>
      <w:color w:val="000000" w:themeColor="text1"/>
      <w14:textFill>
        <w14:solidFill>
          <w14:schemeClr w14:val="tx1"/>
        </w14:solidFill>
      </w14:textFill>
    </w:rPr>
  </w:style>
  <w:style w:type="paragraph" w:styleId="150">
    <w:name w:val="Quote"/>
    <w:basedOn w:val="1"/>
    <w:next w:val="1"/>
    <w:link w:val="149"/>
    <w:qFormat/>
    <w:uiPriority w:val="29"/>
    <w:rPr>
      <w:i/>
      <w:iCs/>
      <w:color w:val="000000" w:themeColor="text1"/>
      <w14:textFill>
        <w14:solidFill>
          <w14:schemeClr w14:val="tx1"/>
        </w14:solidFill>
      </w14:textFill>
    </w:rPr>
  </w:style>
  <w:style w:type="character" w:customStyle="1" w:styleId="151">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2">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153">
    <w:name w:val="Subtle Reference"/>
    <w:basedOn w:val="132"/>
    <w:qFormat/>
    <w:uiPriority w:val="31"/>
    <w:rPr>
      <w:smallCaps/>
      <w:color w:val="C0504D" w:themeColor="accent2"/>
      <w:u w:val="single"/>
      <w14:textFill>
        <w14:solidFill>
          <w14:schemeClr w14:val="accent2"/>
        </w14:solidFill>
      </w14:textFill>
    </w:rPr>
  </w:style>
  <w:style w:type="character" w:customStyle="1" w:styleId="154">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5">
    <w:name w:val="Macro Text Char"/>
    <w:basedOn w:val="132"/>
    <w:link w:val="2"/>
    <w:qFormat/>
    <w:uiPriority w:val="99"/>
    <w:rPr>
      <w:rFonts w:ascii="Courier" w:hAnsi="Courier"/>
      <w:sz w:val="20"/>
      <w:szCs w:val="20"/>
    </w:rPr>
  </w:style>
  <w:style w:type="character" w:customStyle="1" w:styleId="156">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7">
    <w:name w:val="Body Text Char"/>
    <w:basedOn w:val="132"/>
    <w:link w:val="19"/>
    <w:qFormat/>
    <w:uiPriority w:val="99"/>
  </w:style>
  <w:style w:type="character" w:customStyle="1" w:styleId="158">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5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60">
    <w:name w:val="Body Text 2 Char"/>
    <w:basedOn w:val="132"/>
    <w:link w:val="28"/>
    <w:qFormat/>
    <w:uiPriority w:val="99"/>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Footer Char"/>
    <w:basedOn w:val="132"/>
    <w:link w:val="24"/>
    <w:qFormat/>
    <w:uiPriority w:val="99"/>
  </w:style>
  <w:style w:type="character" w:customStyle="1" w:styleId="163">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Words>679</Words>
  <Characters>682</Characters>
  <TotalTime>133</TotalTime>
  <ScaleCrop>false</ScaleCrop>
  <LinksUpToDate>false</LinksUpToDate>
  <CharactersWithSpaces>683</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2026-09-17T16:37:00Z</dcterms:created>
  <dc:creator>lixiang.DESKTOP-L4S363F</dc:creator>
  <cp:lastModifiedBy>Mr李小翔</cp:lastModifiedBy>
  <dcterms:modified xsi:type="dcterms:W3CDTF">2026-09-18T05:38:35Z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eyJoZGlkIjoiZjUxNzU2MjM4MDY5YTlmNTM2ODliMTU4YzIyYjJhMjEiLCJ1c2VySWQiOiIxMTUwNjc2MjgxIn0=</vt:lpwstr>
  </property>
  <property fmtid="{D5CDD505-2E9C-101B-9397-08002B2CF9AE}" pid="3" name="KSOProductBuildVer">
    <vt:lpwstr>2052-12.1.0.23125</vt:lpwstr>
  </property>
  <property fmtid="{D5CDD505-2E9C-101B-9397-08002B2CF9AE}" pid="4" name="ICV">
    <vt:lpwstr>BF114912FF7241699DB611AF8293E48A_12</vt:lpwstr>
  </property>
</Properties>
</file>