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18655">
      <w:pPr>
        <w:tabs>
          <w:tab w:val="left" w:pos="7480"/>
        </w:tabs>
        <w:spacing w:line="360" w:lineRule="auto"/>
        <w:rPr>
          <w:b/>
          <w:color w:val="000000"/>
          <w:sz w:val="24"/>
        </w:rPr>
      </w:pPr>
    </w:p>
    <w:p w14:paraId="402B2925">
      <w:pPr>
        <w:spacing w:line="360" w:lineRule="auto"/>
        <w:ind w:firstLine="434"/>
        <w:jc w:val="right"/>
        <w:rPr>
          <w:rFonts w:hint="eastAsia" w:ascii="宋体" w:hAnsi="宋体"/>
        </w:rPr>
      </w:pPr>
      <w:r>
        <w:rPr>
          <w:rFonts w:hint="eastAsia" w:ascii="宋体" w:hAnsi="宋体"/>
          <w:b/>
          <w:sz w:val="24"/>
        </w:rPr>
        <w:t>编号：</w:t>
      </w:r>
      <w:r>
        <w:rPr>
          <w:rFonts w:hint="eastAsia" w:ascii="宋体" w:hAnsi="宋体"/>
          <w:b/>
          <w:sz w:val="24"/>
          <w:lang w:val="en-US" w:eastAsia="zh-CN"/>
        </w:rPr>
        <w:t>GS</w:t>
      </w:r>
      <w:r>
        <w:rPr>
          <w:rFonts w:ascii="宋体" w:hAnsi="宋体"/>
          <w:b/>
          <w:sz w:val="24"/>
        </w:rPr>
        <w:t>QH-</w:t>
      </w:r>
      <w:r>
        <w:rPr>
          <w:rFonts w:hint="eastAsia" w:ascii="宋体" w:hAnsi="宋体"/>
          <w:b/>
          <w:sz w:val="24"/>
          <w:lang w:val="en-US" w:eastAsia="zh-CN"/>
        </w:rPr>
        <w:t>XXJSZX</w:t>
      </w:r>
      <w:r>
        <w:rPr>
          <w:rFonts w:ascii="宋体" w:hAnsi="宋体"/>
          <w:b/>
          <w:sz w:val="24"/>
        </w:rPr>
        <w:t>-2</w:t>
      </w:r>
      <w:r>
        <w:rPr>
          <w:rFonts w:hint="eastAsia" w:ascii="宋体" w:hAnsi="宋体"/>
          <w:b/>
          <w:sz w:val="24"/>
          <w:lang w:val="en-US" w:eastAsia="zh-CN"/>
        </w:rPr>
        <w:t>026</w:t>
      </w:r>
      <w:r>
        <w:rPr>
          <w:rFonts w:ascii="宋体" w:hAnsi="宋体"/>
          <w:b/>
          <w:sz w:val="24"/>
        </w:rPr>
        <w:t>-</w:t>
      </w:r>
      <w:r>
        <w:rPr>
          <w:rFonts w:hint="eastAsia" w:ascii="宋体" w:hAnsi="宋体"/>
          <w:b/>
          <w:sz w:val="24"/>
          <w:lang w:val="en-US" w:eastAsia="zh-CN"/>
        </w:rPr>
        <w:t>001</w:t>
      </w:r>
      <w:r>
        <w:rPr>
          <w:rFonts w:hint="eastAsia" w:ascii="宋体" w:hAnsi="宋体"/>
          <w:b/>
          <w:sz w:val="24"/>
        </w:rPr>
        <w:t>号</w:t>
      </w:r>
    </w:p>
    <w:p w14:paraId="01992195">
      <w:pPr>
        <w:spacing w:line="360" w:lineRule="auto"/>
        <w:rPr>
          <w:b/>
          <w:color w:val="000000"/>
          <w:sz w:val="24"/>
        </w:rPr>
      </w:pPr>
    </w:p>
    <w:p w14:paraId="6AAA0893">
      <w:pPr>
        <w:spacing w:line="360" w:lineRule="auto"/>
        <w:rPr>
          <w:b/>
          <w:color w:val="000000"/>
          <w:sz w:val="24"/>
        </w:rPr>
      </w:pPr>
    </w:p>
    <w:p w14:paraId="1817D921">
      <w:pPr>
        <w:spacing w:line="360" w:lineRule="auto"/>
        <w:rPr>
          <w:b/>
          <w:color w:val="000000"/>
          <w:sz w:val="24"/>
        </w:rPr>
      </w:pPr>
    </w:p>
    <w:p w14:paraId="65F1913D">
      <w:pPr>
        <w:spacing w:line="360" w:lineRule="auto"/>
        <w:jc w:val="center"/>
        <w:rPr>
          <w:rFonts w:eastAsia="黑体"/>
          <w:bCs/>
          <w:color w:val="000000"/>
          <w:sz w:val="48"/>
        </w:rPr>
      </w:pPr>
      <w:r>
        <w:rPr>
          <w:rFonts w:hint="eastAsia" w:eastAsia="黑体"/>
          <w:bCs/>
          <w:color w:val="000000"/>
          <w:sz w:val="48"/>
          <w:lang w:val="en-US" w:eastAsia="zh-CN"/>
        </w:rPr>
        <w:t>国盛</w:t>
      </w:r>
      <w:r>
        <w:rPr>
          <w:rFonts w:hint="eastAsia" w:eastAsia="黑体"/>
          <w:bCs/>
          <w:color w:val="000000"/>
          <w:sz w:val="48"/>
        </w:rPr>
        <w:t>期货有限</w:t>
      </w:r>
      <w:r>
        <w:rPr>
          <w:rFonts w:hint="eastAsia" w:eastAsia="黑体"/>
          <w:bCs/>
          <w:color w:val="000000"/>
          <w:sz w:val="48"/>
          <w:lang w:val="en-US" w:eastAsia="zh-CN"/>
        </w:rPr>
        <w:t>责任</w:t>
      </w:r>
      <w:r>
        <w:rPr>
          <w:rFonts w:hint="eastAsia" w:eastAsia="黑体"/>
          <w:bCs/>
          <w:color w:val="000000"/>
          <w:sz w:val="48"/>
        </w:rPr>
        <w:t>公司</w:t>
      </w:r>
    </w:p>
    <w:p w14:paraId="2568D2D5">
      <w:pPr>
        <w:spacing w:line="360" w:lineRule="auto"/>
        <w:jc w:val="center"/>
        <w:rPr>
          <w:rFonts w:hint="default" w:eastAsia="宋体"/>
          <w:b/>
          <w:color w:val="000000"/>
          <w:sz w:val="52"/>
          <w:lang w:val="en-US" w:eastAsia="zh-CN"/>
        </w:rPr>
      </w:pPr>
      <w:r>
        <w:rPr>
          <w:rFonts w:hint="eastAsia" w:ascii="黑体" w:eastAsia="黑体"/>
          <w:bCs/>
          <w:sz w:val="48"/>
          <w:szCs w:val="30"/>
          <w:lang w:eastAsia="zh-CN"/>
        </w:rPr>
        <w:t>机柜维护服务框架</w:t>
      </w:r>
      <w:r>
        <w:rPr>
          <w:rFonts w:hint="eastAsia" w:ascii="黑体" w:eastAsia="黑体"/>
          <w:bCs/>
          <w:sz w:val="48"/>
          <w:szCs w:val="30"/>
          <w:lang w:val="en-US" w:eastAsia="zh-CN"/>
        </w:rPr>
        <w:t>采购项目</w:t>
      </w:r>
    </w:p>
    <w:p w14:paraId="6F71969E">
      <w:pPr>
        <w:spacing w:line="360" w:lineRule="auto"/>
        <w:jc w:val="center"/>
        <w:rPr>
          <w:rFonts w:eastAsia="黑体"/>
          <w:b/>
          <w:color w:val="000000"/>
          <w:sz w:val="72"/>
          <w:szCs w:val="72"/>
        </w:rPr>
      </w:pPr>
      <w:r>
        <w:rPr>
          <w:rFonts w:hint="eastAsia" w:eastAsia="黑体"/>
          <w:b/>
          <w:color w:val="000000"/>
          <w:sz w:val="84"/>
        </w:rPr>
        <w:t>招标书</w:t>
      </w:r>
    </w:p>
    <w:p w14:paraId="2F482250">
      <w:pPr>
        <w:spacing w:line="360" w:lineRule="auto"/>
        <w:jc w:val="center"/>
        <w:rPr>
          <w:b/>
          <w:color w:val="000000"/>
          <w:sz w:val="24"/>
        </w:rPr>
      </w:pPr>
    </w:p>
    <w:p w14:paraId="7D591686">
      <w:pPr>
        <w:spacing w:line="360" w:lineRule="auto"/>
        <w:jc w:val="center"/>
        <w:rPr>
          <w:b/>
          <w:color w:val="000000"/>
          <w:sz w:val="24"/>
        </w:rPr>
      </w:pPr>
    </w:p>
    <w:p w14:paraId="5DC20D1C">
      <w:pPr>
        <w:spacing w:line="360" w:lineRule="auto"/>
        <w:jc w:val="center"/>
        <w:rPr>
          <w:b/>
          <w:color w:val="000000"/>
          <w:sz w:val="24"/>
        </w:rPr>
      </w:pPr>
    </w:p>
    <w:p w14:paraId="787DE3E1">
      <w:pPr>
        <w:spacing w:line="360" w:lineRule="auto"/>
        <w:jc w:val="center"/>
        <w:rPr>
          <w:b/>
          <w:color w:val="000000"/>
          <w:sz w:val="24"/>
        </w:rPr>
      </w:pPr>
    </w:p>
    <w:p w14:paraId="109C207C">
      <w:pPr>
        <w:spacing w:line="360" w:lineRule="auto"/>
        <w:jc w:val="center"/>
        <w:rPr>
          <w:b/>
          <w:color w:val="000000"/>
          <w:sz w:val="24"/>
        </w:rPr>
      </w:pPr>
    </w:p>
    <w:p w14:paraId="5096DE55">
      <w:pPr>
        <w:spacing w:line="360" w:lineRule="auto"/>
        <w:jc w:val="center"/>
        <w:rPr>
          <w:b/>
          <w:color w:val="000000"/>
          <w:sz w:val="24"/>
        </w:rPr>
      </w:pPr>
    </w:p>
    <w:p w14:paraId="46DC3FF1">
      <w:pPr>
        <w:spacing w:line="360" w:lineRule="auto"/>
        <w:jc w:val="center"/>
        <w:rPr>
          <w:b/>
          <w:color w:val="000000"/>
          <w:sz w:val="24"/>
        </w:rPr>
      </w:pPr>
    </w:p>
    <w:p w14:paraId="0A8DCAF5">
      <w:pPr>
        <w:spacing w:line="360" w:lineRule="auto"/>
        <w:jc w:val="center"/>
        <w:rPr>
          <w:b/>
          <w:color w:val="000000"/>
          <w:sz w:val="24"/>
        </w:rPr>
      </w:pPr>
    </w:p>
    <w:p w14:paraId="7CAFDAA3">
      <w:pPr>
        <w:spacing w:line="360" w:lineRule="auto"/>
        <w:jc w:val="center"/>
        <w:rPr>
          <w:b/>
          <w:color w:val="000000"/>
          <w:sz w:val="24"/>
        </w:rPr>
      </w:pPr>
    </w:p>
    <w:p w14:paraId="0163A3EB">
      <w:pPr>
        <w:spacing w:line="360" w:lineRule="auto"/>
        <w:rPr>
          <w:b/>
          <w:color w:val="000000"/>
          <w:sz w:val="24"/>
        </w:rPr>
      </w:pPr>
    </w:p>
    <w:p w14:paraId="669415DB">
      <w:pPr>
        <w:spacing w:line="360" w:lineRule="auto"/>
        <w:jc w:val="center"/>
        <w:rPr>
          <w:b/>
          <w:color w:val="000000"/>
          <w:sz w:val="32"/>
        </w:rPr>
      </w:pPr>
      <w:r>
        <w:rPr>
          <w:rFonts w:hint="eastAsia"/>
          <w:b/>
          <w:color w:val="000000"/>
          <w:sz w:val="32"/>
        </w:rPr>
        <w:t>招标方：</w:t>
      </w:r>
      <w:r>
        <w:rPr>
          <w:rFonts w:hint="eastAsia"/>
          <w:b/>
          <w:color w:val="000000"/>
          <w:sz w:val="32"/>
          <w:lang w:val="en-US" w:eastAsia="zh-CN"/>
        </w:rPr>
        <w:t>国盛</w:t>
      </w:r>
      <w:r>
        <w:rPr>
          <w:rFonts w:hint="eastAsia"/>
          <w:b/>
          <w:color w:val="000000"/>
          <w:sz w:val="32"/>
        </w:rPr>
        <w:t>期货有限</w:t>
      </w:r>
      <w:r>
        <w:rPr>
          <w:rFonts w:hint="eastAsia"/>
          <w:b/>
          <w:color w:val="000000"/>
          <w:sz w:val="32"/>
          <w:lang w:val="en-US" w:eastAsia="zh-CN"/>
        </w:rPr>
        <w:t>责任</w:t>
      </w:r>
      <w:r>
        <w:rPr>
          <w:rFonts w:hint="eastAsia"/>
          <w:b/>
          <w:color w:val="000000"/>
          <w:sz w:val="32"/>
        </w:rPr>
        <w:t>公司</w:t>
      </w:r>
    </w:p>
    <w:p w14:paraId="5A176832">
      <w:pPr>
        <w:spacing w:line="360" w:lineRule="auto"/>
        <w:jc w:val="center"/>
        <w:rPr>
          <w:b/>
          <w:sz w:val="32"/>
          <w:highlight w:val="yellow"/>
        </w:rPr>
      </w:pPr>
      <w:r>
        <w:rPr>
          <w:rFonts w:hint="eastAsia"/>
          <w:b/>
          <w:color w:val="000000"/>
          <w:sz w:val="32"/>
        </w:rPr>
        <w:t>发标日期：</w:t>
      </w:r>
      <w:r>
        <w:rPr>
          <w:rFonts w:hint="eastAsia"/>
          <w:b/>
          <w:color w:val="000000"/>
          <w:sz w:val="32"/>
          <w:lang w:val="en-US" w:eastAsia="zh-CN"/>
        </w:rPr>
        <w:t>2026</w:t>
      </w:r>
      <w:r>
        <w:rPr>
          <w:rFonts w:hint="eastAsia"/>
          <w:b/>
          <w:sz w:val="32"/>
        </w:rPr>
        <w:t>年</w:t>
      </w:r>
      <w:r>
        <w:rPr>
          <w:rFonts w:hint="eastAsia"/>
          <w:b/>
          <w:sz w:val="32"/>
          <w:lang w:val="en-US" w:eastAsia="zh-CN"/>
        </w:rPr>
        <w:t>09</w:t>
      </w:r>
      <w:r>
        <w:rPr>
          <w:rFonts w:hint="eastAsia"/>
          <w:b/>
          <w:sz w:val="32"/>
        </w:rPr>
        <w:t>月</w:t>
      </w:r>
      <w:r>
        <w:rPr>
          <w:rFonts w:hint="eastAsia"/>
          <w:b/>
          <w:sz w:val="32"/>
          <w:lang w:val="en-US" w:eastAsia="zh-CN"/>
        </w:rPr>
        <w:t>04</w:t>
      </w:r>
      <w:r>
        <w:rPr>
          <w:rFonts w:hint="eastAsia"/>
          <w:b/>
          <w:sz w:val="32"/>
        </w:rPr>
        <w:t>日</w:t>
      </w:r>
    </w:p>
    <w:p w14:paraId="58118AF1">
      <w:pPr>
        <w:jc w:val="center"/>
        <w:rPr>
          <w:rFonts w:ascii="黑体" w:eastAsia="黑体"/>
          <w:b/>
          <w:color w:val="000000"/>
          <w:sz w:val="32"/>
        </w:rPr>
        <w:sectPr>
          <w:headerReference r:id="rId5" w:type="first"/>
          <w:headerReference r:id="rId3" w:type="default"/>
          <w:footerReference r:id="rId6" w:type="default"/>
          <w:headerReference r:id="rId4" w:type="even"/>
          <w:pgSz w:w="11906" w:h="16838"/>
          <w:pgMar w:top="1440" w:right="1797" w:bottom="1440" w:left="1797" w:header="851" w:footer="992" w:gutter="0"/>
          <w:cols w:space="425" w:num="1"/>
          <w:docGrid w:type="linesAndChars" w:linePitch="326" w:charSpace="-4916"/>
        </w:sectPr>
      </w:pPr>
    </w:p>
    <w:p w14:paraId="340C235B">
      <w:pPr>
        <w:jc w:val="center"/>
        <w:rPr>
          <w:rFonts w:ascii="黑体" w:eastAsia="黑体"/>
          <w:b/>
          <w:color w:val="000000"/>
          <w:sz w:val="36"/>
        </w:rPr>
      </w:pPr>
      <w:r>
        <w:rPr>
          <w:rFonts w:hint="eastAsia" w:ascii="黑体" w:eastAsia="黑体"/>
          <w:b/>
          <w:color w:val="000000"/>
          <w:sz w:val="36"/>
        </w:rPr>
        <w:t>目    录</w:t>
      </w:r>
    </w:p>
    <w:p w14:paraId="50B531CD">
      <w:pPr>
        <w:pStyle w:val="21"/>
      </w:pPr>
      <w:bookmarkStart w:id="0" w:name="_Toc509025039"/>
      <w:bookmarkStart w:id="1" w:name="_Toc23479968"/>
      <w:bookmarkStart w:id="2" w:name="_Toc523196814"/>
      <w:bookmarkStart w:id="3" w:name="_Toc509024840"/>
      <w:bookmarkStart w:id="4" w:name="_Toc57518129"/>
      <w:bookmarkStart w:id="5" w:name="_Toc57478030"/>
    </w:p>
    <w:p w14:paraId="08CF7BD5">
      <w:pPr>
        <w:pStyle w:val="21"/>
        <w:tabs>
          <w:tab w:val="right" w:leader="dot" w:pos="8312"/>
          <w:tab w:val="clear" w:pos="8302"/>
        </w:tabs>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_Toc21237 </w:instrText>
      </w:r>
      <w:r>
        <w:fldChar w:fldCharType="separate"/>
      </w:r>
      <w:r>
        <w:rPr>
          <w:rFonts w:hint="eastAsia"/>
        </w:rPr>
        <w:t xml:space="preserve">第一部分 </w:t>
      </w:r>
      <w:r>
        <w:t xml:space="preserve"> </w:t>
      </w:r>
      <w:r>
        <w:rPr>
          <w:rFonts w:hint="eastAsia"/>
        </w:rPr>
        <w:t>招标公告</w:t>
      </w:r>
      <w:r>
        <w:tab/>
      </w:r>
      <w:r>
        <w:fldChar w:fldCharType="begin"/>
      </w:r>
      <w:r>
        <w:instrText xml:space="preserve"> PAGEREF _Toc21237 \h </w:instrText>
      </w:r>
      <w:r>
        <w:fldChar w:fldCharType="separate"/>
      </w:r>
      <w:r>
        <w:t>1</w:t>
      </w:r>
      <w:r>
        <w:fldChar w:fldCharType="end"/>
      </w:r>
      <w:r>
        <w:fldChar w:fldCharType="end"/>
      </w:r>
    </w:p>
    <w:p w14:paraId="41B35646">
      <w:pPr>
        <w:pStyle w:val="21"/>
        <w:tabs>
          <w:tab w:val="right" w:leader="dot" w:pos="8312"/>
          <w:tab w:val="clear" w:pos="8302"/>
        </w:tabs>
      </w:pPr>
      <w:r>
        <w:fldChar w:fldCharType="begin"/>
      </w:r>
      <w:r>
        <w:instrText xml:space="preserve"> HYPERLINK \l _Toc20678 </w:instrText>
      </w:r>
      <w:r>
        <w:fldChar w:fldCharType="separate"/>
      </w:r>
      <w:r>
        <w:rPr>
          <w:rFonts w:hint="eastAsia"/>
        </w:rPr>
        <w:t>第二部分</w:t>
      </w:r>
      <w:r>
        <w:t xml:space="preserve">  </w:t>
      </w:r>
      <w:r>
        <w:rPr>
          <w:rFonts w:hint="eastAsia"/>
        </w:rPr>
        <w:t>投标须知</w:t>
      </w:r>
      <w:r>
        <w:tab/>
      </w:r>
      <w:r>
        <w:fldChar w:fldCharType="begin"/>
      </w:r>
      <w:r>
        <w:instrText xml:space="preserve"> PAGEREF _Toc20678 \h </w:instrText>
      </w:r>
      <w:r>
        <w:fldChar w:fldCharType="separate"/>
      </w:r>
      <w:r>
        <w:t>2</w:t>
      </w:r>
      <w:r>
        <w:fldChar w:fldCharType="end"/>
      </w:r>
      <w:r>
        <w:fldChar w:fldCharType="end"/>
      </w:r>
    </w:p>
    <w:p w14:paraId="09216CF0">
      <w:pPr>
        <w:pStyle w:val="24"/>
        <w:tabs>
          <w:tab w:val="right" w:leader="dot" w:pos="8312"/>
          <w:tab w:val="clear" w:pos="8302"/>
        </w:tabs>
      </w:pPr>
      <w:r>
        <w:fldChar w:fldCharType="begin"/>
      </w:r>
      <w:r>
        <w:instrText xml:space="preserve"> HYPERLINK \l _Toc10431 </w:instrText>
      </w:r>
      <w:r>
        <w:fldChar w:fldCharType="separate"/>
      </w:r>
      <w:r>
        <w:rPr>
          <w:rFonts w:hint="eastAsia"/>
        </w:rPr>
        <w:t>1</w:t>
      </w:r>
      <w:r>
        <w:t>.</w:t>
      </w:r>
      <w:r>
        <w:rPr>
          <w:rFonts w:hint="eastAsia"/>
        </w:rPr>
        <w:t xml:space="preserve"> 总则</w:t>
      </w:r>
      <w:r>
        <w:tab/>
      </w:r>
      <w:r>
        <w:fldChar w:fldCharType="begin"/>
      </w:r>
      <w:r>
        <w:instrText xml:space="preserve"> PAGEREF _Toc10431 \h </w:instrText>
      </w:r>
      <w:r>
        <w:fldChar w:fldCharType="separate"/>
      </w:r>
      <w:r>
        <w:t>2</w:t>
      </w:r>
      <w:r>
        <w:fldChar w:fldCharType="end"/>
      </w:r>
      <w:r>
        <w:fldChar w:fldCharType="end"/>
      </w:r>
    </w:p>
    <w:p w14:paraId="5CCDE2E4">
      <w:pPr>
        <w:pStyle w:val="24"/>
        <w:tabs>
          <w:tab w:val="right" w:leader="dot" w:pos="8312"/>
          <w:tab w:val="clear" w:pos="8302"/>
        </w:tabs>
      </w:pPr>
      <w:r>
        <w:fldChar w:fldCharType="begin"/>
      </w:r>
      <w:r>
        <w:instrText xml:space="preserve"> HYPERLINK \l _Toc12993 </w:instrText>
      </w:r>
      <w:r>
        <w:fldChar w:fldCharType="separate"/>
      </w:r>
      <w:r>
        <w:rPr>
          <w:rFonts w:hint="eastAsia"/>
        </w:rPr>
        <w:t>2</w:t>
      </w:r>
      <w:r>
        <w:t>.</w:t>
      </w:r>
      <w:r>
        <w:rPr>
          <w:rFonts w:hint="eastAsia"/>
        </w:rPr>
        <w:t xml:space="preserve"> 对投标方的基本要求</w:t>
      </w:r>
      <w:r>
        <w:tab/>
      </w:r>
      <w:r>
        <w:fldChar w:fldCharType="begin"/>
      </w:r>
      <w:r>
        <w:instrText xml:space="preserve"> PAGEREF _Toc12993 \h </w:instrText>
      </w:r>
      <w:r>
        <w:fldChar w:fldCharType="separate"/>
      </w:r>
      <w:r>
        <w:t>2</w:t>
      </w:r>
      <w:r>
        <w:fldChar w:fldCharType="end"/>
      </w:r>
      <w:r>
        <w:fldChar w:fldCharType="end"/>
      </w:r>
    </w:p>
    <w:p w14:paraId="338F1817">
      <w:pPr>
        <w:pStyle w:val="24"/>
        <w:tabs>
          <w:tab w:val="right" w:leader="dot" w:pos="8312"/>
          <w:tab w:val="clear" w:pos="8302"/>
        </w:tabs>
      </w:pPr>
      <w:r>
        <w:fldChar w:fldCharType="begin"/>
      </w:r>
      <w:r>
        <w:instrText xml:space="preserve"> HYPERLINK \l _Toc3174 </w:instrText>
      </w:r>
      <w:r>
        <w:fldChar w:fldCharType="separate"/>
      </w:r>
      <w:r>
        <w:rPr>
          <w:rFonts w:hint="eastAsia"/>
        </w:rPr>
        <w:t>3</w:t>
      </w:r>
      <w:r>
        <w:t>.</w:t>
      </w:r>
      <w:r>
        <w:rPr>
          <w:rFonts w:hint="eastAsia"/>
        </w:rPr>
        <w:t xml:space="preserve"> 投标文件的编制</w:t>
      </w:r>
      <w:r>
        <w:tab/>
      </w:r>
      <w:r>
        <w:fldChar w:fldCharType="begin"/>
      </w:r>
      <w:r>
        <w:instrText xml:space="preserve"> PAGEREF _Toc3174 \h </w:instrText>
      </w:r>
      <w:r>
        <w:fldChar w:fldCharType="separate"/>
      </w:r>
      <w:r>
        <w:t>3</w:t>
      </w:r>
      <w:r>
        <w:fldChar w:fldCharType="end"/>
      </w:r>
      <w:r>
        <w:fldChar w:fldCharType="end"/>
      </w:r>
    </w:p>
    <w:p w14:paraId="359A9CB2">
      <w:pPr>
        <w:pStyle w:val="24"/>
        <w:tabs>
          <w:tab w:val="right" w:leader="dot" w:pos="8312"/>
          <w:tab w:val="clear" w:pos="8302"/>
        </w:tabs>
      </w:pPr>
      <w:r>
        <w:fldChar w:fldCharType="begin"/>
      </w:r>
      <w:r>
        <w:instrText xml:space="preserve"> HYPERLINK \l _Toc20520 </w:instrText>
      </w:r>
      <w:r>
        <w:fldChar w:fldCharType="separate"/>
      </w:r>
      <w:r>
        <w:rPr>
          <w:rFonts w:hint="eastAsia"/>
        </w:rPr>
        <w:t>4</w:t>
      </w:r>
      <w:r>
        <w:t>.</w:t>
      </w:r>
      <w:r>
        <w:rPr>
          <w:rFonts w:hint="eastAsia"/>
        </w:rPr>
        <w:t xml:space="preserve"> 投标文件的递交</w:t>
      </w:r>
      <w:r>
        <w:tab/>
      </w:r>
      <w:r>
        <w:fldChar w:fldCharType="begin"/>
      </w:r>
      <w:r>
        <w:instrText xml:space="preserve"> PAGEREF _Toc20520 \h </w:instrText>
      </w:r>
      <w:r>
        <w:fldChar w:fldCharType="separate"/>
      </w:r>
      <w:r>
        <w:t>4</w:t>
      </w:r>
      <w:r>
        <w:fldChar w:fldCharType="end"/>
      </w:r>
      <w:r>
        <w:fldChar w:fldCharType="end"/>
      </w:r>
    </w:p>
    <w:p w14:paraId="6FFDBFC2">
      <w:pPr>
        <w:pStyle w:val="24"/>
        <w:tabs>
          <w:tab w:val="right" w:leader="dot" w:pos="8312"/>
          <w:tab w:val="clear" w:pos="8302"/>
        </w:tabs>
      </w:pPr>
      <w:r>
        <w:fldChar w:fldCharType="begin"/>
      </w:r>
      <w:r>
        <w:instrText xml:space="preserve"> HYPERLINK \l _Toc11198 </w:instrText>
      </w:r>
      <w:r>
        <w:fldChar w:fldCharType="separate"/>
      </w:r>
      <w:r>
        <w:rPr>
          <w:rFonts w:hint="eastAsia"/>
        </w:rPr>
        <w:t>5</w:t>
      </w:r>
      <w:r>
        <w:t>.</w:t>
      </w:r>
      <w:r>
        <w:rPr>
          <w:rFonts w:hint="eastAsia"/>
        </w:rPr>
        <w:t xml:space="preserve"> 开标</w:t>
      </w:r>
      <w:r>
        <w:tab/>
      </w:r>
      <w:r>
        <w:fldChar w:fldCharType="begin"/>
      </w:r>
      <w:r>
        <w:instrText xml:space="preserve"> PAGEREF _Toc11198 \h </w:instrText>
      </w:r>
      <w:r>
        <w:fldChar w:fldCharType="separate"/>
      </w:r>
      <w:r>
        <w:t>4</w:t>
      </w:r>
      <w:r>
        <w:fldChar w:fldCharType="end"/>
      </w:r>
      <w:r>
        <w:fldChar w:fldCharType="end"/>
      </w:r>
    </w:p>
    <w:p w14:paraId="5228FE41">
      <w:pPr>
        <w:pStyle w:val="24"/>
        <w:tabs>
          <w:tab w:val="right" w:leader="dot" w:pos="8312"/>
          <w:tab w:val="clear" w:pos="8302"/>
        </w:tabs>
      </w:pPr>
      <w:r>
        <w:fldChar w:fldCharType="begin"/>
      </w:r>
      <w:r>
        <w:instrText xml:space="preserve"> HYPERLINK \l _Toc6555 </w:instrText>
      </w:r>
      <w:r>
        <w:fldChar w:fldCharType="separate"/>
      </w:r>
      <w:r>
        <w:rPr>
          <w:rFonts w:hint="eastAsia"/>
        </w:rPr>
        <w:t>6</w:t>
      </w:r>
      <w:r>
        <w:t>.</w:t>
      </w:r>
      <w:r>
        <w:rPr>
          <w:rFonts w:hint="eastAsia"/>
        </w:rPr>
        <w:t xml:space="preserve"> 评标</w:t>
      </w:r>
      <w:r>
        <w:tab/>
      </w:r>
      <w:r>
        <w:fldChar w:fldCharType="begin"/>
      </w:r>
      <w:r>
        <w:instrText xml:space="preserve"> PAGEREF _Toc6555 \h </w:instrText>
      </w:r>
      <w:r>
        <w:fldChar w:fldCharType="separate"/>
      </w:r>
      <w:r>
        <w:t>5</w:t>
      </w:r>
      <w:r>
        <w:fldChar w:fldCharType="end"/>
      </w:r>
      <w:r>
        <w:fldChar w:fldCharType="end"/>
      </w:r>
    </w:p>
    <w:p w14:paraId="6EA77D81">
      <w:pPr>
        <w:pStyle w:val="24"/>
        <w:tabs>
          <w:tab w:val="right" w:leader="dot" w:pos="8312"/>
          <w:tab w:val="clear" w:pos="8302"/>
        </w:tabs>
      </w:pPr>
      <w:r>
        <w:fldChar w:fldCharType="begin"/>
      </w:r>
      <w:r>
        <w:instrText xml:space="preserve"> HYPERLINK \l _Toc11932 </w:instrText>
      </w:r>
      <w:r>
        <w:fldChar w:fldCharType="separate"/>
      </w:r>
      <w:r>
        <w:rPr>
          <w:rFonts w:hint="eastAsia"/>
        </w:rPr>
        <w:t>7</w:t>
      </w:r>
      <w:r>
        <w:t>.</w:t>
      </w:r>
      <w:r>
        <w:rPr>
          <w:rFonts w:hint="eastAsia"/>
        </w:rPr>
        <w:t xml:space="preserve"> 授予合同</w:t>
      </w:r>
      <w:r>
        <w:tab/>
      </w:r>
      <w:r>
        <w:fldChar w:fldCharType="begin"/>
      </w:r>
      <w:r>
        <w:instrText xml:space="preserve"> PAGEREF _Toc11932 \h </w:instrText>
      </w:r>
      <w:r>
        <w:fldChar w:fldCharType="separate"/>
      </w:r>
      <w:r>
        <w:t>6</w:t>
      </w:r>
      <w:r>
        <w:fldChar w:fldCharType="end"/>
      </w:r>
      <w:r>
        <w:fldChar w:fldCharType="end"/>
      </w:r>
    </w:p>
    <w:p w14:paraId="778D10BC">
      <w:pPr>
        <w:pStyle w:val="24"/>
        <w:tabs>
          <w:tab w:val="right" w:leader="dot" w:pos="8312"/>
          <w:tab w:val="clear" w:pos="8302"/>
        </w:tabs>
      </w:pPr>
      <w:r>
        <w:fldChar w:fldCharType="begin"/>
      </w:r>
      <w:r>
        <w:instrText xml:space="preserve"> HYPERLINK \l _Toc29313 </w:instrText>
      </w:r>
      <w:r>
        <w:fldChar w:fldCharType="separate"/>
      </w:r>
      <w:r>
        <w:rPr>
          <w:rFonts w:hint="eastAsia"/>
        </w:rPr>
        <w:t>8</w:t>
      </w:r>
      <w:r>
        <w:t>.</w:t>
      </w:r>
      <w:r>
        <w:rPr>
          <w:rFonts w:hint="eastAsia"/>
        </w:rPr>
        <w:t xml:space="preserve"> 授予合同时变更内容的权力</w:t>
      </w:r>
      <w:r>
        <w:tab/>
      </w:r>
      <w:r>
        <w:fldChar w:fldCharType="begin"/>
      </w:r>
      <w:r>
        <w:instrText xml:space="preserve"> PAGEREF _Toc29313 \h </w:instrText>
      </w:r>
      <w:r>
        <w:fldChar w:fldCharType="separate"/>
      </w:r>
      <w:r>
        <w:t>6</w:t>
      </w:r>
      <w:r>
        <w:fldChar w:fldCharType="end"/>
      </w:r>
      <w:r>
        <w:fldChar w:fldCharType="end"/>
      </w:r>
    </w:p>
    <w:p w14:paraId="1DE9EA7C">
      <w:pPr>
        <w:pStyle w:val="24"/>
        <w:tabs>
          <w:tab w:val="right" w:leader="dot" w:pos="8312"/>
          <w:tab w:val="clear" w:pos="8302"/>
        </w:tabs>
      </w:pPr>
      <w:r>
        <w:fldChar w:fldCharType="begin"/>
      </w:r>
      <w:r>
        <w:instrText xml:space="preserve"> HYPERLINK \l _Toc519 </w:instrText>
      </w:r>
      <w:r>
        <w:fldChar w:fldCharType="separate"/>
      </w:r>
      <w:r>
        <w:rPr>
          <w:rFonts w:hint="eastAsia"/>
        </w:rPr>
        <w:t>9</w:t>
      </w:r>
      <w:r>
        <w:t>.</w:t>
      </w:r>
      <w:r>
        <w:rPr>
          <w:rFonts w:hint="eastAsia"/>
        </w:rPr>
        <w:t xml:space="preserve"> 签订合同</w:t>
      </w:r>
      <w:r>
        <w:tab/>
      </w:r>
      <w:r>
        <w:fldChar w:fldCharType="begin"/>
      </w:r>
      <w:r>
        <w:instrText xml:space="preserve"> PAGEREF _Toc519 \h </w:instrText>
      </w:r>
      <w:r>
        <w:fldChar w:fldCharType="separate"/>
      </w:r>
      <w:r>
        <w:t>6</w:t>
      </w:r>
      <w:r>
        <w:fldChar w:fldCharType="end"/>
      </w:r>
      <w:r>
        <w:fldChar w:fldCharType="end"/>
      </w:r>
    </w:p>
    <w:p w14:paraId="5ED32BCE">
      <w:pPr>
        <w:pStyle w:val="24"/>
        <w:tabs>
          <w:tab w:val="right" w:leader="dot" w:pos="8312"/>
          <w:tab w:val="clear" w:pos="8302"/>
        </w:tabs>
      </w:pPr>
      <w:r>
        <w:fldChar w:fldCharType="begin"/>
      </w:r>
      <w:r>
        <w:instrText xml:space="preserve"> HYPERLINK \l _Toc22017 </w:instrText>
      </w:r>
      <w:r>
        <w:fldChar w:fldCharType="separate"/>
      </w:r>
      <w:r>
        <w:rPr>
          <w:rFonts w:hint="eastAsia"/>
        </w:rPr>
        <w:t>1</w:t>
      </w:r>
      <w:r>
        <w:rPr>
          <w:rFonts w:hint="eastAsia"/>
          <w:lang w:val="en-US" w:eastAsia="zh-CN"/>
        </w:rPr>
        <w:t>0</w:t>
      </w:r>
      <w:r>
        <w:t>.</w:t>
      </w:r>
      <w:r>
        <w:rPr>
          <w:rFonts w:hint="eastAsia"/>
        </w:rPr>
        <w:t xml:space="preserve"> 纪律与保密</w:t>
      </w:r>
      <w:r>
        <w:tab/>
      </w:r>
      <w:r>
        <w:fldChar w:fldCharType="begin"/>
      </w:r>
      <w:r>
        <w:instrText xml:space="preserve"> PAGEREF _Toc22017 \h </w:instrText>
      </w:r>
      <w:r>
        <w:fldChar w:fldCharType="separate"/>
      </w:r>
      <w:r>
        <w:t>6</w:t>
      </w:r>
      <w:r>
        <w:fldChar w:fldCharType="end"/>
      </w:r>
      <w:r>
        <w:fldChar w:fldCharType="end"/>
      </w:r>
    </w:p>
    <w:p w14:paraId="2F346D05">
      <w:pPr>
        <w:pStyle w:val="21"/>
        <w:tabs>
          <w:tab w:val="right" w:leader="dot" w:pos="8312"/>
          <w:tab w:val="clear" w:pos="8302"/>
        </w:tabs>
      </w:pPr>
      <w:r>
        <w:fldChar w:fldCharType="begin"/>
      </w:r>
      <w:r>
        <w:instrText xml:space="preserve"> HYPERLINK \l _Toc21990 </w:instrText>
      </w:r>
      <w:r>
        <w:fldChar w:fldCharType="separate"/>
      </w:r>
      <w:r>
        <w:rPr>
          <w:rFonts w:hint="eastAsia"/>
        </w:rPr>
        <w:t>第三部分</w:t>
      </w:r>
      <w:r>
        <w:t xml:space="preserve">  </w:t>
      </w:r>
      <w:r>
        <w:rPr>
          <w:rFonts w:hint="eastAsia"/>
        </w:rPr>
        <w:t>招标内容</w:t>
      </w:r>
      <w:r>
        <w:tab/>
      </w:r>
      <w:r>
        <w:fldChar w:fldCharType="begin"/>
      </w:r>
      <w:r>
        <w:instrText xml:space="preserve"> PAGEREF _Toc21990 \h </w:instrText>
      </w:r>
      <w:r>
        <w:fldChar w:fldCharType="separate"/>
      </w:r>
      <w:r>
        <w:t>8</w:t>
      </w:r>
      <w:r>
        <w:fldChar w:fldCharType="end"/>
      </w:r>
      <w:r>
        <w:fldChar w:fldCharType="end"/>
      </w:r>
    </w:p>
    <w:p w14:paraId="35AE1B35">
      <w:pPr>
        <w:pStyle w:val="24"/>
        <w:tabs>
          <w:tab w:val="right" w:leader="dot" w:pos="8312"/>
          <w:tab w:val="clear" w:pos="8302"/>
        </w:tabs>
      </w:pPr>
      <w:r>
        <w:fldChar w:fldCharType="begin"/>
      </w:r>
      <w:r>
        <w:instrText xml:space="preserve"> HYPERLINK \l _Toc6258 </w:instrText>
      </w:r>
      <w:r>
        <w:fldChar w:fldCharType="separate"/>
      </w:r>
      <w:r>
        <w:rPr>
          <w:rFonts w:hint="eastAsia"/>
        </w:rPr>
        <w:t>1. 招标方介绍</w:t>
      </w:r>
      <w:r>
        <w:tab/>
      </w:r>
      <w:r>
        <w:fldChar w:fldCharType="begin"/>
      </w:r>
      <w:r>
        <w:instrText xml:space="preserve"> PAGEREF _Toc6258 \h </w:instrText>
      </w:r>
      <w:r>
        <w:fldChar w:fldCharType="separate"/>
      </w:r>
      <w:r>
        <w:t>8</w:t>
      </w:r>
      <w:r>
        <w:fldChar w:fldCharType="end"/>
      </w:r>
      <w:r>
        <w:fldChar w:fldCharType="end"/>
      </w:r>
    </w:p>
    <w:p w14:paraId="0AFB5A53">
      <w:pPr>
        <w:pStyle w:val="24"/>
        <w:tabs>
          <w:tab w:val="right" w:leader="dot" w:pos="8312"/>
          <w:tab w:val="clear" w:pos="8302"/>
        </w:tabs>
      </w:pPr>
      <w:r>
        <w:fldChar w:fldCharType="begin"/>
      </w:r>
      <w:r>
        <w:instrText xml:space="preserve"> HYPERLINK \l _Toc10508 </w:instrText>
      </w:r>
      <w:r>
        <w:fldChar w:fldCharType="separate"/>
      </w:r>
      <w:r>
        <w:rPr>
          <w:rFonts w:hint="eastAsia"/>
        </w:rPr>
        <w:t>2</w:t>
      </w:r>
      <w:r>
        <w:t>.</w:t>
      </w:r>
      <w:r>
        <w:rPr>
          <w:rFonts w:hint="eastAsia"/>
        </w:rPr>
        <w:t xml:space="preserve"> 招标项目</w:t>
      </w:r>
      <w:r>
        <w:rPr>
          <w:rFonts w:hint="eastAsia"/>
          <w:lang w:val="en-US" w:eastAsia="zh-CN"/>
        </w:rPr>
        <w:t>要求及</w:t>
      </w:r>
      <w:r>
        <w:rPr>
          <w:rFonts w:hint="eastAsia"/>
        </w:rPr>
        <w:t>范围</w:t>
      </w:r>
      <w:r>
        <w:tab/>
      </w:r>
      <w:r>
        <w:fldChar w:fldCharType="begin"/>
      </w:r>
      <w:r>
        <w:instrText xml:space="preserve"> PAGEREF _Toc10508 \h </w:instrText>
      </w:r>
      <w:r>
        <w:fldChar w:fldCharType="separate"/>
      </w:r>
      <w:r>
        <w:t>8</w:t>
      </w:r>
      <w:r>
        <w:fldChar w:fldCharType="end"/>
      </w:r>
      <w:r>
        <w:fldChar w:fldCharType="end"/>
      </w:r>
    </w:p>
    <w:p w14:paraId="0EEAA8C9">
      <w:pPr>
        <w:pStyle w:val="24"/>
        <w:tabs>
          <w:tab w:val="right" w:leader="dot" w:pos="8312"/>
          <w:tab w:val="clear" w:pos="8302"/>
        </w:tabs>
      </w:pPr>
      <w:r>
        <w:fldChar w:fldCharType="begin"/>
      </w:r>
      <w:r>
        <w:instrText xml:space="preserve"> HYPERLINK \l _Toc20911 </w:instrText>
      </w:r>
      <w:r>
        <w:fldChar w:fldCharType="separate"/>
      </w:r>
      <w:r>
        <w:rPr>
          <w:rFonts w:hint="eastAsia"/>
        </w:rPr>
        <w:t>3. 报价</w:t>
      </w:r>
      <w:r>
        <w:tab/>
      </w:r>
      <w:r>
        <w:fldChar w:fldCharType="begin"/>
      </w:r>
      <w:r>
        <w:instrText xml:space="preserve"> PAGEREF _Toc20911 \h </w:instrText>
      </w:r>
      <w:r>
        <w:fldChar w:fldCharType="separate"/>
      </w:r>
      <w:r>
        <w:t>8</w:t>
      </w:r>
      <w:r>
        <w:fldChar w:fldCharType="end"/>
      </w:r>
      <w:r>
        <w:fldChar w:fldCharType="end"/>
      </w:r>
    </w:p>
    <w:p w14:paraId="3C59AE4F">
      <w:pPr>
        <w:pStyle w:val="16"/>
        <w:tabs>
          <w:tab w:val="right" w:leader="dot" w:pos="8312"/>
        </w:tabs>
      </w:pPr>
      <w:r>
        <w:fldChar w:fldCharType="begin"/>
      </w:r>
      <w:r>
        <w:instrText xml:space="preserve"> HYPERLINK \l _Toc24288 </w:instrText>
      </w:r>
      <w:r>
        <w:fldChar w:fldCharType="separate"/>
      </w:r>
      <w:r>
        <w:t>3.1</w:t>
      </w:r>
      <w:r>
        <w:rPr>
          <w:rFonts w:hint="eastAsia"/>
        </w:rPr>
        <w:t xml:space="preserve"> </w:t>
      </w:r>
      <w:r>
        <w:rPr>
          <w:rFonts w:hint="eastAsia"/>
          <w:szCs w:val="24"/>
        </w:rPr>
        <w:t>报价总则</w:t>
      </w:r>
      <w:r>
        <w:tab/>
      </w:r>
      <w:r>
        <w:fldChar w:fldCharType="begin"/>
      </w:r>
      <w:r>
        <w:instrText xml:space="preserve"> PAGEREF _Toc24288 \h </w:instrText>
      </w:r>
      <w:r>
        <w:fldChar w:fldCharType="separate"/>
      </w:r>
      <w:r>
        <w:t>8</w:t>
      </w:r>
      <w:r>
        <w:fldChar w:fldCharType="end"/>
      </w:r>
      <w:r>
        <w:fldChar w:fldCharType="end"/>
      </w:r>
    </w:p>
    <w:p w14:paraId="7E487424">
      <w:pPr>
        <w:pStyle w:val="16"/>
        <w:tabs>
          <w:tab w:val="right" w:leader="dot" w:pos="8312"/>
        </w:tabs>
      </w:pPr>
      <w:r>
        <w:fldChar w:fldCharType="begin"/>
      </w:r>
      <w:r>
        <w:instrText xml:space="preserve"> HYPERLINK \l _Toc7862 </w:instrText>
      </w:r>
      <w:r>
        <w:fldChar w:fldCharType="separate"/>
      </w:r>
      <w:r>
        <w:rPr>
          <w:rFonts w:hint="eastAsia"/>
          <w:szCs w:val="24"/>
        </w:rPr>
        <w:t>3.2 报价表</w:t>
      </w:r>
      <w:r>
        <w:tab/>
      </w:r>
      <w:r>
        <w:fldChar w:fldCharType="begin"/>
      </w:r>
      <w:r>
        <w:instrText xml:space="preserve"> PAGEREF _Toc7862 \h </w:instrText>
      </w:r>
      <w:r>
        <w:fldChar w:fldCharType="separate"/>
      </w:r>
      <w:r>
        <w:t>8</w:t>
      </w:r>
      <w:r>
        <w:fldChar w:fldCharType="end"/>
      </w:r>
      <w:r>
        <w:fldChar w:fldCharType="end"/>
      </w:r>
    </w:p>
    <w:p w14:paraId="2808094A">
      <w:pPr>
        <w:pStyle w:val="21"/>
        <w:tabs>
          <w:tab w:val="right" w:leader="dot" w:pos="8312"/>
          <w:tab w:val="clear" w:pos="8302"/>
        </w:tabs>
      </w:pPr>
      <w:r>
        <w:fldChar w:fldCharType="begin"/>
      </w:r>
      <w:r>
        <w:instrText xml:space="preserve"> HYPERLINK \l _Toc29413 </w:instrText>
      </w:r>
      <w:r>
        <w:fldChar w:fldCharType="separate"/>
      </w:r>
      <w:r>
        <w:rPr>
          <w:rFonts w:hint="eastAsia"/>
        </w:rPr>
        <w:t>第四部分  附件</w:t>
      </w:r>
      <w:r>
        <w:tab/>
      </w:r>
      <w:r>
        <w:fldChar w:fldCharType="begin"/>
      </w:r>
      <w:r>
        <w:instrText xml:space="preserve"> PAGEREF _Toc29413 \h </w:instrText>
      </w:r>
      <w:r>
        <w:fldChar w:fldCharType="separate"/>
      </w:r>
      <w:r>
        <w:t>9</w:t>
      </w:r>
      <w:r>
        <w:fldChar w:fldCharType="end"/>
      </w:r>
      <w:r>
        <w:fldChar w:fldCharType="end"/>
      </w:r>
    </w:p>
    <w:p w14:paraId="445F2F2A">
      <w:pPr>
        <w:pStyle w:val="24"/>
        <w:tabs>
          <w:tab w:val="right" w:leader="dot" w:pos="8312"/>
          <w:tab w:val="clear" w:pos="8302"/>
        </w:tabs>
      </w:pPr>
      <w:r>
        <w:fldChar w:fldCharType="begin"/>
      </w:r>
      <w:r>
        <w:instrText xml:space="preserve"> HYPERLINK \l _Toc7537 </w:instrText>
      </w:r>
      <w:r>
        <w:fldChar w:fldCharType="separate"/>
      </w:r>
      <w:r>
        <w:rPr>
          <w:rFonts w:hint="eastAsia"/>
        </w:rPr>
        <w:t>附件1：投标书格式</w:t>
      </w:r>
      <w:r>
        <w:tab/>
      </w:r>
      <w:r>
        <w:fldChar w:fldCharType="begin"/>
      </w:r>
      <w:r>
        <w:instrText xml:space="preserve"> PAGEREF _Toc7537 \h </w:instrText>
      </w:r>
      <w:r>
        <w:fldChar w:fldCharType="separate"/>
      </w:r>
      <w:r>
        <w:t>9</w:t>
      </w:r>
      <w:r>
        <w:fldChar w:fldCharType="end"/>
      </w:r>
      <w:r>
        <w:fldChar w:fldCharType="end"/>
      </w:r>
    </w:p>
    <w:p w14:paraId="761968A8">
      <w:pPr>
        <w:pStyle w:val="24"/>
        <w:tabs>
          <w:tab w:val="right" w:leader="dot" w:pos="8312"/>
          <w:tab w:val="clear" w:pos="8302"/>
        </w:tabs>
      </w:pPr>
      <w:r>
        <w:fldChar w:fldCharType="begin"/>
      </w:r>
      <w:r>
        <w:instrText xml:space="preserve"> HYPERLINK \l _Toc16884 </w:instrText>
      </w:r>
      <w:r>
        <w:fldChar w:fldCharType="separate"/>
      </w:r>
      <w:r>
        <w:rPr>
          <w:rFonts w:hint="eastAsia" w:ascii="Arial" w:hAnsi="Arial" w:eastAsia="黑体"/>
          <w:bCs/>
          <w:kern w:val="2"/>
          <w:szCs w:val="20"/>
        </w:rPr>
        <w:t>附件2：投标价格表</w:t>
      </w:r>
      <w:r>
        <w:tab/>
      </w:r>
      <w:r>
        <w:fldChar w:fldCharType="begin"/>
      </w:r>
      <w:r>
        <w:instrText xml:space="preserve"> PAGEREF _Toc16884 \h </w:instrText>
      </w:r>
      <w:r>
        <w:fldChar w:fldCharType="separate"/>
      </w:r>
      <w:r>
        <w:t>11</w:t>
      </w:r>
      <w:r>
        <w:fldChar w:fldCharType="end"/>
      </w:r>
      <w:r>
        <w:fldChar w:fldCharType="end"/>
      </w:r>
    </w:p>
    <w:p w14:paraId="1A0DEA75">
      <w:pPr>
        <w:pStyle w:val="24"/>
        <w:tabs>
          <w:tab w:val="right" w:leader="dot" w:pos="8312"/>
          <w:tab w:val="clear" w:pos="8302"/>
        </w:tabs>
      </w:pPr>
      <w:r>
        <w:fldChar w:fldCharType="begin"/>
      </w:r>
      <w:r>
        <w:instrText xml:space="preserve"> HYPERLINK \l _Toc23456 </w:instrText>
      </w:r>
      <w:r>
        <w:fldChar w:fldCharType="separate"/>
      </w:r>
      <w:r>
        <w:rPr>
          <w:rFonts w:hint="eastAsia"/>
          <w:bCs/>
        </w:rPr>
        <w:t>附件3：投标人资格</w:t>
      </w:r>
      <w:r>
        <w:rPr>
          <w:rFonts w:hint="eastAsia"/>
        </w:rPr>
        <w:t>证明文件</w:t>
      </w:r>
      <w:r>
        <w:tab/>
      </w:r>
      <w:r>
        <w:fldChar w:fldCharType="begin"/>
      </w:r>
      <w:r>
        <w:instrText xml:space="preserve"> PAGEREF _Toc23456 \h </w:instrText>
      </w:r>
      <w:r>
        <w:fldChar w:fldCharType="separate"/>
      </w:r>
      <w:r>
        <w:t>13</w:t>
      </w:r>
      <w:r>
        <w:fldChar w:fldCharType="end"/>
      </w:r>
      <w:r>
        <w:fldChar w:fldCharType="end"/>
      </w:r>
    </w:p>
    <w:p w14:paraId="6DB52784">
      <w:pPr>
        <w:pStyle w:val="24"/>
        <w:tabs>
          <w:tab w:val="right" w:leader="dot" w:pos="8312"/>
          <w:tab w:val="clear" w:pos="8302"/>
        </w:tabs>
      </w:pPr>
      <w:r>
        <w:fldChar w:fldCharType="begin"/>
      </w:r>
      <w:r>
        <w:instrText xml:space="preserve"> HYPERLINK \l _Toc24047 </w:instrText>
      </w:r>
      <w:r>
        <w:fldChar w:fldCharType="separate"/>
      </w:r>
      <w:r>
        <w:rPr>
          <w:rFonts w:hint="eastAsia"/>
          <w:bCs/>
        </w:rPr>
        <w:t>附件4：供应商纳税信息登记</w:t>
      </w:r>
      <w:r>
        <w:rPr>
          <w:bCs/>
        </w:rPr>
        <w:t>表</w:t>
      </w:r>
      <w:r>
        <w:tab/>
      </w:r>
      <w:r>
        <w:fldChar w:fldCharType="begin"/>
      </w:r>
      <w:r>
        <w:instrText xml:space="preserve"> PAGEREF _Toc24047 \h </w:instrText>
      </w:r>
      <w:r>
        <w:fldChar w:fldCharType="separate"/>
      </w:r>
      <w:r>
        <w:t>14</w:t>
      </w:r>
      <w:r>
        <w:fldChar w:fldCharType="end"/>
      </w:r>
      <w:r>
        <w:fldChar w:fldCharType="end"/>
      </w:r>
    </w:p>
    <w:p w14:paraId="2A324F20">
      <w:pPr>
        <w:pStyle w:val="24"/>
        <w:tabs>
          <w:tab w:val="right" w:leader="dot" w:pos="8312"/>
          <w:tab w:val="clear" w:pos="8302"/>
        </w:tabs>
      </w:pPr>
      <w:r>
        <w:fldChar w:fldCharType="begin"/>
      </w:r>
      <w:r>
        <w:instrText xml:space="preserve"> HYPERLINK \l _Toc31290 </w:instrText>
      </w:r>
      <w:r>
        <w:fldChar w:fldCharType="separate"/>
      </w:r>
      <w:r>
        <w:rPr>
          <w:rFonts w:hint="eastAsia"/>
          <w:bCs/>
          <w:highlight w:val="none"/>
        </w:rPr>
        <w:t>附件5：</w:t>
      </w:r>
      <w:r>
        <w:rPr>
          <w:rFonts w:hint="eastAsia"/>
          <w:bCs/>
          <w:highlight w:val="none"/>
          <w:lang w:eastAsia="zh-CN"/>
        </w:rPr>
        <w:t>国盛期货</w:t>
      </w:r>
      <w:r>
        <w:rPr>
          <w:rFonts w:hint="eastAsia"/>
          <w:bCs/>
          <w:highlight w:val="none"/>
          <w:lang w:val="en-US" w:eastAsia="zh-CN"/>
        </w:rPr>
        <w:t>****采购需求</w:t>
      </w:r>
      <w:r>
        <w:tab/>
      </w:r>
      <w:r>
        <w:fldChar w:fldCharType="begin"/>
      </w:r>
      <w:r>
        <w:instrText xml:space="preserve"> PAGEREF _Toc31290 \h </w:instrText>
      </w:r>
      <w:r>
        <w:fldChar w:fldCharType="separate"/>
      </w:r>
      <w:r>
        <w:t>15</w:t>
      </w:r>
      <w:r>
        <w:fldChar w:fldCharType="end"/>
      </w:r>
      <w:r>
        <w:fldChar w:fldCharType="end"/>
      </w:r>
    </w:p>
    <w:p w14:paraId="217BD627">
      <w:r>
        <w:fldChar w:fldCharType="end"/>
      </w:r>
    </w:p>
    <w:p w14:paraId="26D3508A">
      <w:pPr>
        <w:sectPr>
          <w:pgSz w:w="11906" w:h="16838"/>
          <w:pgMar w:top="1440" w:right="1797" w:bottom="1440" w:left="1797" w:header="851" w:footer="992" w:gutter="0"/>
          <w:cols w:space="425" w:num="1"/>
          <w:docGrid w:type="linesAndChars" w:linePitch="326" w:charSpace="-4916"/>
        </w:sectPr>
      </w:pPr>
    </w:p>
    <w:p w14:paraId="13C584B8">
      <w:pPr>
        <w:pStyle w:val="2"/>
        <w:jc w:val="center"/>
        <w:rPr>
          <w:color w:val="000000"/>
          <w:sz w:val="30"/>
        </w:rPr>
      </w:pPr>
      <w:bookmarkStart w:id="6" w:name="_Toc212001931"/>
      <w:bookmarkStart w:id="7" w:name="_Toc57518374"/>
      <w:bookmarkStart w:id="8" w:name="_Toc57518317"/>
      <w:bookmarkStart w:id="9" w:name="_Toc184805386"/>
      <w:bookmarkStart w:id="10" w:name="_Toc21237"/>
      <w:r>
        <w:rPr>
          <w:rFonts w:hint="eastAsia"/>
          <w:color w:val="000000"/>
          <w:sz w:val="30"/>
        </w:rPr>
        <w:t xml:space="preserve">第一部分 </w:t>
      </w:r>
      <w:r>
        <w:rPr>
          <w:color w:val="000000"/>
          <w:sz w:val="30"/>
        </w:rPr>
        <w:t xml:space="preserve"> </w:t>
      </w:r>
      <w:bookmarkEnd w:id="0"/>
      <w:bookmarkEnd w:id="1"/>
      <w:bookmarkEnd w:id="2"/>
      <w:bookmarkEnd w:id="3"/>
      <w:bookmarkEnd w:id="4"/>
      <w:bookmarkEnd w:id="5"/>
      <w:bookmarkEnd w:id="6"/>
      <w:bookmarkEnd w:id="7"/>
      <w:bookmarkEnd w:id="8"/>
      <w:r>
        <w:rPr>
          <w:rFonts w:hint="eastAsia"/>
          <w:color w:val="000000"/>
          <w:sz w:val="30"/>
        </w:rPr>
        <w:t>招标公告</w:t>
      </w:r>
      <w:bookmarkEnd w:id="9"/>
      <w:bookmarkEnd w:id="10"/>
    </w:p>
    <w:p w14:paraId="1B813E5E"/>
    <w:p w14:paraId="4842667A">
      <w:pPr>
        <w:spacing w:before="120" w:after="120"/>
        <w:ind w:firstLine="516" w:firstLineChars="214"/>
        <w:rPr>
          <w:rFonts w:ascii="宋体"/>
          <w:b/>
          <w:color w:val="000000"/>
          <w:sz w:val="24"/>
        </w:rPr>
      </w:pPr>
      <w:r>
        <w:rPr>
          <w:rFonts w:hint="eastAsia" w:ascii="宋体" w:hAnsi="宋体"/>
          <w:b/>
          <w:color w:val="000000"/>
          <w:sz w:val="24"/>
          <w:lang w:eastAsia="zh-CN"/>
        </w:rPr>
        <w:t>国盛期货有限责任公司</w:t>
      </w:r>
      <w:r>
        <w:rPr>
          <w:rFonts w:hint="eastAsia" w:ascii="宋体" w:hAnsi="宋体"/>
          <w:b/>
          <w:color w:val="000000"/>
          <w:sz w:val="24"/>
        </w:rPr>
        <w:t>决定就【</w:t>
      </w:r>
      <w:r>
        <w:rPr>
          <w:rFonts w:hint="eastAsia" w:ascii="宋体" w:hAnsi="宋体"/>
          <w:b/>
          <w:color w:val="000000"/>
          <w:sz w:val="24"/>
          <w:lang w:val="en-US" w:eastAsia="zh-CN"/>
        </w:rPr>
        <w:t>国盛期货</w:t>
      </w:r>
      <w:r>
        <w:rPr>
          <w:rFonts w:hint="eastAsia" w:ascii="宋体" w:hAnsi="宋体"/>
          <w:b/>
          <w:color w:val="000000"/>
          <w:sz w:val="24"/>
          <w:lang w:eastAsia="zh-CN"/>
        </w:rPr>
        <w:t>机柜维护服务框架</w:t>
      </w:r>
      <w:r>
        <w:rPr>
          <w:rFonts w:hint="eastAsia" w:ascii="宋体" w:hAnsi="宋体"/>
          <w:b/>
          <w:color w:val="000000"/>
          <w:sz w:val="24"/>
          <w:lang w:val="en-US" w:eastAsia="zh-CN"/>
        </w:rPr>
        <w:t>采购项目</w:t>
      </w:r>
      <w:r>
        <w:rPr>
          <w:rFonts w:hint="eastAsia" w:ascii="宋体" w:hAnsi="宋体"/>
          <w:b/>
          <w:color w:val="000000"/>
          <w:sz w:val="24"/>
        </w:rPr>
        <w:t>】进行</w:t>
      </w:r>
      <w:r>
        <w:rPr>
          <w:rFonts w:hint="eastAsia" w:ascii="宋体" w:hAnsi="宋体"/>
          <w:b/>
          <w:color w:val="000000"/>
          <w:sz w:val="24"/>
          <w:lang w:val="en-US" w:eastAsia="zh-CN"/>
        </w:rPr>
        <w:t>邀请</w:t>
      </w:r>
      <w:r>
        <w:rPr>
          <w:rFonts w:hint="eastAsia" w:ascii="宋体" w:hAnsi="宋体"/>
          <w:b/>
          <w:color w:val="000000"/>
          <w:sz w:val="24"/>
        </w:rPr>
        <w:t>招标</w:t>
      </w:r>
      <w:r>
        <w:rPr>
          <w:rFonts w:hint="eastAsia" w:ascii="宋体"/>
          <w:b/>
          <w:color w:val="000000"/>
          <w:sz w:val="24"/>
        </w:rPr>
        <w:t>。</w:t>
      </w:r>
    </w:p>
    <w:p w14:paraId="70F25A26">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标号：</w:t>
      </w:r>
      <w:r>
        <w:rPr>
          <w:rFonts w:hint="eastAsia" w:ascii="宋体" w:hAnsi="宋体"/>
          <w:b/>
          <w:sz w:val="24"/>
        </w:rPr>
        <w:t>【</w:t>
      </w:r>
      <w:r>
        <w:rPr>
          <w:rFonts w:hint="eastAsia" w:ascii="宋体" w:hAnsi="宋体"/>
          <w:b/>
          <w:sz w:val="24"/>
          <w:lang w:val="en-US" w:eastAsia="zh-CN"/>
        </w:rPr>
        <w:t>GS</w:t>
      </w:r>
      <w:r>
        <w:rPr>
          <w:rFonts w:ascii="宋体" w:hAnsi="宋体"/>
          <w:b/>
          <w:sz w:val="24"/>
        </w:rPr>
        <w:t>QH-</w:t>
      </w:r>
      <w:r>
        <w:rPr>
          <w:rFonts w:hint="eastAsia" w:ascii="宋体" w:hAnsi="宋体"/>
          <w:b/>
          <w:sz w:val="24"/>
          <w:lang w:val="en-US" w:eastAsia="zh-CN"/>
        </w:rPr>
        <w:t>XXJSZX</w:t>
      </w:r>
      <w:r>
        <w:rPr>
          <w:rFonts w:ascii="宋体" w:hAnsi="宋体"/>
          <w:b/>
          <w:sz w:val="24"/>
        </w:rPr>
        <w:t>-2</w:t>
      </w:r>
      <w:r>
        <w:rPr>
          <w:rFonts w:hint="eastAsia" w:ascii="宋体" w:hAnsi="宋体"/>
          <w:b/>
          <w:sz w:val="24"/>
          <w:lang w:val="en-US" w:eastAsia="zh-CN"/>
        </w:rPr>
        <w:t>026</w:t>
      </w:r>
      <w:r>
        <w:rPr>
          <w:rFonts w:ascii="宋体" w:hAnsi="宋体"/>
          <w:b/>
          <w:sz w:val="24"/>
        </w:rPr>
        <w:t>-</w:t>
      </w:r>
      <w:r>
        <w:rPr>
          <w:rFonts w:hint="eastAsia" w:ascii="宋体" w:hAnsi="宋体"/>
          <w:b/>
          <w:sz w:val="24"/>
          <w:lang w:val="en-US" w:eastAsia="zh-CN"/>
        </w:rPr>
        <w:t>001</w:t>
      </w:r>
      <w:r>
        <w:rPr>
          <w:rFonts w:hint="eastAsia" w:ascii="宋体" w:hAnsi="宋体"/>
          <w:b/>
          <w:sz w:val="24"/>
        </w:rPr>
        <w:t>】</w:t>
      </w:r>
    </w:p>
    <w:p w14:paraId="1C795792">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招标项目：</w:t>
      </w:r>
      <w:r>
        <w:rPr>
          <w:rFonts w:hint="eastAsia" w:ascii="宋体" w:hAnsi="宋体" w:cs="Courier New"/>
          <w:b/>
          <w:color w:val="000000"/>
          <w:sz w:val="24"/>
        </w:rPr>
        <w:t>【</w:t>
      </w:r>
      <w:r>
        <w:rPr>
          <w:rFonts w:hint="eastAsia" w:ascii="宋体" w:hAnsi="宋体" w:cs="Courier New"/>
          <w:b/>
          <w:color w:val="000000"/>
          <w:sz w:val="24"/>
          <w:lang w:val="en-US" w:eastAsia="zh-CN"/>
        </w:rPr>
        <w:t>国盛期货</w:t>
      </w:r>
      <w:r>
        <w:rPr>
          <w:rFonts w:hint="eastAsia" w:ascii="宋体" w:hAnsi="宋体"/>
          <w:b/>
          <w:color w:val="000000"/>
          <w:sz w:val="24"/>
          <w:lang w:eastAsia="zh-CN"/>
        </w:rPr>
        <w:t>机柜维护服务框架</w:t>
      </w:r>
      <w:r>
        <w:rPr>
          <w:rFonts w:hint="eastAsia" w:ascii="宋体" w:hAnsi="宋体"/>
          <w:b/>
          <w:color w:val="000000"/>
          <w:sz w:val="24"/>
          <w:lang w:val="en-US" w:eastAsia="zh-CN"/>
        </w:rPr>
        <w:t>采购项目</w:t>
      </w:r>
      <w:r>
        <w:rPr>
          <w:rFonts w:hint="eastAsia" w:ascii="宋体" w:hAnsi="宋体" w:cs="Courier New"/>
          <w:b/>
          <w:color w:val="000000"/>
          <w:sz w:val="24"/>
        </w:rPr>
        <w:t>】</w:t>
      </w:r>
    </w:p>
    <w:p w14:paraId="762147F0">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招标文件发出</w:t>
      </w:r>
      <w:r>
        <w:rPr>
          <w:rFonts w:hint="eastAsia" w:ascii="宋体" w:hAnsi="宋体" w:cs="Courier New"/>
          <w:color w:val="000000"/>
          <w:sz w:val="24"/>
        </w:rPr>
        <w:t>时间</w:t>
      </w:r>
      <w:r>
        <w:rPr>
          <w:rFonts w:ascii="宋体" w:hAnsi="宋体" w:cs="Courier New"/>
          <w:color w:val="000000"/>
          <w:sz w:val="24"/>
        </w:rPr>
        <w:t>：</w:t>
      </w:r>
      <w:r>
        <w:rPr>
          <w:rFonts w:hint="eastAsia" w:ascii="宋体" w:hAnsi="宋体" w:cs="Courier New"/>
          <w:color w:val="000000"/>
          <w:sz w:val="24"/>
          <w:lang w:val="en-US" w:eastAsia="zh-CN"/>
        </w:rPr>
        <w:t xml:space="preserve"> 2026 </w:t>
      </w:r>
      <w:r>
        <w:rPr>
          <w:rFonts w:hint="eastAsia" w:ascii="宋体" w:hAnsi="宋体" w:cs="Courier New"/>
          <w:color w:val="000000"/>
          <w:sz w:val="24"/>
        </w:rPr>
        <w:t>年</w:t>
      </w:r>
      <w:r>
        <w:rPr>
          <w:rFonts w:hint="eastAsia" w:ascii="宋体" w:hAnsi="宋体" w:cs="Courier New"/>
          <w:color w:val="000000"/>
          <w:sz w:val="24"/>
          <w:lang w:val="en-US" w:eastAsia="zh-CN"/>
        </w:rPr>
        <w:t xml:space="preserve"> 09 </w:t>
      </w:r>
      <w:r>
        <w:rPr>
          <w:rFonts w:hint="eastAsia" w:ascii="宋体" w:hAnsi="宋体" w:cs="Courier New"/>
          <w:color w:val="000000"/>
          <w:sz w:val="24"/>
        </w:rPr>
        <w:t>月</w:t>
      </w:r>
      <w:r>
        <w:rPr>
          <w:rFonts w:hint="eastAsia" w:ascii="宋体" w:hAnsi="宋体" w:cs="Courier New"/>
          <w:color w:val="000000"/>
          <w:sz w:val="24"/>
          <w:lang w:val="en-US" w:eastAsia="zh-CN"/>
        </w:rPr>
        <w:t>04</w:t>
      </w:r>
      <w:r>
        <w:rPr>
          <w:rFonts w:hint="eastAsia" w:ascii="宋体" w:hAnsi="宋体" w:cs="Courier New"/>
          <w:color w:val="000000"/>
          <w:sz w:val="24"/>
        </w:rPr>
        <w:t>日</w:t>
      </w:r>
    </w:p>
    <w:p w14:paraId="0B1E27E0">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招标文件</w:t>
      </w:r>
      <w:r>
        <w:rPr>
          <w:rFonts w:hint="eastAsia" w:ascii="宋体" w:hAnsi="宋体" w:cs="Courier New"/>
          <w:color w:val="000000"/>
          <w:sz w:val="24"/>
          <w:lang w:val="en-US" w:eastAsia="zh-CN"/>
        </w:rPr>
        <w:t>获取</w:t>
      </w:r>
      <w:r>
        <w:rPr>
          <w:rFonts w:ascii="宋体" w:hAnsi="宋体" w:cs="Courier New"/>
          <w:color w:val="000000"/>
          <w:sz w:val="24"/>
        </w:rPr>
        <w:t>方式：</w:t>
      </w:r>
      <w:r>
        <w:rPr>
          <w:rFonts w:hint="eastAsia" w:ascii="宋体" w:hAnsi="宋体" w:cs="Courier New"/>
          <w:color w:val="000000"/>
          <w:sz w:val="24"/>
          <w:lang w:val="en-US" w:eastAsia="zh-CN"/>
        </w:rPr>
        <w:t>公司官网https://www.guoshengqh.com/</w:t>
      </w:r>
      <w:r>
        <w:rPr>
          <w:rFonts w:hint="eastAsia" w:ascii="仿宋" w:hAnsi="仿宋" w:eastAsia="仿宋" w:cs="仿宋"/>
          <w:sz w:val="24"/>
          <w:lang w:eastAsia="zh-CN"/>
        </w:rPr>
        <w:t>，</w:t>
      </w:r>
      <w:r>
        <w:rPr>
          <w:rFonts w:hint="eastAsia" w:ascii="宋体" w:hAnsi="宋体" w:cs="Courier New"/>
          <w:color w:val="000000"/>
          <w:sz w:val="24"/>
        </w:rPr>
        <w:t>本公告及所有相关附件均已在本公告下方提供下载。请有意参与的投标人自行下载。</w:t>
      </w:r>
    </w:p>
    <w:p w14:paraId="1EEC6B5B">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招标文件费：无</w:t>
      </w:r>
    </w:p>
    <w:p w14:paraId="70D346D0">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开标时间及地点：</w:t>
      </w:r>
      <w:r>
        <w:rPr>
          <w:rFonts w:hint="eastAsia" w:ascii="宋体" w:hAnsi="宋体" w:cs="Courier New"/>
          <w:b/>
          <w:color w:val="000000"/>
          <w:sz w:val="24"/>
          <w:u w:val="single"/>
        </w:rPr>
        <w:t>20</w:t>
      </w:r>
      <w:r>
        <w:rPr>
          <w:rFonts w:hint="eastAsia" w:ascii="宋体" w:hAnsi="宋体" w:cs="Courier New"/>
          <w:b/>
          <w:color w:val="000000"/>
          <w:sz w:val="24"/>
          <w:u w:val="single"/>
          <w:lang w:val="en-US" w:eastAsia="zh-CN"/>
        </w:rPr>
        <w:t xml:space="preserve">26  </w:t>
      </w:r>
      <w:r>
        <w:rPr>
          <w:rFonts w:hint="eastAsia" w:ascii="宋体" w:hAnsi="宋体" w:cs="Courier New"/>
          <w:b/>
          <w:color w:val="000000"/>
          <w:sz w:val="24"/>
          <w:u w:val="single"/>
        </w:rPr>
        <w:t>年</w:t>
      </w:r>
      <w:r>
        <w:rPr>
          <w:rFonts w:hint="eastAsia" w:ascii="宋体" w:hAnsi="宋体" w:cs="Courier New"/>
          <w:b/>
          <w:color w:val="000000"/>
          <w:sz w:val="24"/>
          <w:u w:val="single"/>
          <w:lang w:val="en-US" w:eastAsia="zh-CN"/>
        </w:rPr>
        <w:t xml:space="preserve"> 09 </w:t>
      </w:r>
      <w:r>
        <w:rPr>
          <w:rFonts w:hint="eastAsia" w:ascii="宋体" w:hAnsi="宋体" w:cs="Courier New"/>
          <w:b/>
          <w:color w:val="000000"/>
          <w:sz w:val="24"/>
          <w:u w:val="single"/>
        </w:rPr>
        <w:t>月</w:t>
      </w:r>
      <w:r>
        <w:rPr>
          <w:rFonts w:hint="eastAsia" w:ascii="宋体" w:hAnsi="宋体" w:cs="Courier New"/>
          <w:b/>
          <w:color w:val="000000"/>
          <w:sz w:val="24"/>
          <w:u w:val="single"/>
          <w:lang w:val="en-US" w:eastAsia="zh-CN"/>
        </w:rPr>
        <w:t xml:space="preserve"> 11 </w:t>
      </w:r>
      <w:r>
        <w:rPr>
          <w:rFonts w:hint="eastAsia" w:ascii="宋体" w:hAnsi="宋体" w:cs="Courier New"/>
          <w:b/>
          <w:color w:val="000000"/>
          <w:sz w:val="24"/>
          <w:u w:val="single"/>
        </w:rPr>
        <w:t>日13：</w:t>
      </w:r>
      <w:r>
        <w:rPr>
          <w:rFonts w:hint="eastAsia" w:ascii="宋体" w:hAnsi="宋体" w:cs="Courier New"/>
          <w:b/>
          <w:color w:val="000000"/>
          <w:sz w:val="24"/>
          <w:u w:val="single"/>
          <w:lang w:val="en-US" w:eastAsia="zh-CN"/>
        </w:rPr>
        <w:t>4</w:t>
      </w:r>
      <w:r>
        <w:rPr>
          <w:rFonts w:hint="eastAsia" w:ascii="宋体" w:hAnsi="宋体" w:cs="Courier New"/>
          <w:b/>
          <w:color w:val="000000"/>
          <w:sz w:val="24"/>
          <w:u w:val="single"/>
        </w:rPr>
        <w:t>0</w:t>
      </w:r>
      <w:r>
        <w:rPr>
          <w:rFonts w:hint="eastAsia" w:ascii="宋体" w:hAnsi="宋体" w:cs="Courier New"/>
          <w:b/>
          <w:color w:val="000000"/>
          <w:sz w:val="24"/>
          <w:u w:val="single"/>
          <w:lang w:eastAsia="zh-CN"/>
        </w:rPr>
        <w:t>，</w:t>
      </w:r>
      <w:r>
        <w:rPr>
          <w:rFonts w:hint="eastAsia" w:ascii="宋体" w:hAnsi="宋体" w:cs="Courier New"/>
          <w:b/>
          <w:color w:val="000000"/>
          <w:sz w:val="24"/>
          <w:u w:val="single"/>
          <w:lang w:val="en-US" w:eastAsia="zh-CN"/>
        </w:rPr>
        <w:t>上海市浦东新区世纪大道1501号5楼。</w:t>
      </w:r>
    </w:p>
    <w:p w14:paraId="4BBB96F5">
      <w:pPr>
        <w:pStyle w:val="41"/>
        <w:numPr>
          <w:ilvl w:val="-1"/>
          <w:numId w:val="0"/>
        </w:numPr>
        <w:spacing w:line="560" w:lineRule="exact"/>
        <w:ind w:left="0" w:firstLine="482" w:firstLineChars="200"/>
        <w:rPr>
          <w:rFonts w:hint="eastAsia" w:ascii="宋体" w:hAnsi="宋体" w:cs="Courier New"/>
          <w:color w:val="000000"/>
          <w:sz w:val="24"/>
        </w:rPr>
      </w:pPr>
      <w:r>
        <w:rPr>
          <w:rFonts w:hint="eastAsia" w:ascii="宋体" w:hAnsi="宋体" w:cs="Courier New"/>
          <w:b/>
          <w:color w:val="000000"/>
          <w:sz w:val="24"/>
        </w:rPr>
        <w:t>请投标人在开标当日（递交投标文件截止时间</w:t>
      </w:r>
      <w:r>
        <w:rPr>
          <w:rFonts w:hint="eastAsia" w:ascii="宋体" w:hAnsi="宋体" w:cs="Courier New"/>
          <w:b/>
          <w:color w:val="000000"/>
          <w:sz w:val="24"/>
          <w:u w:val="single"/>
        </w:rPr>
        <w:t>20</w:t>
      </w:r>
      <w:r>
        <w:rPr>
          <w:rFonts w:hint="eastAsia" w:ascii="宋体" w:hAnsi="宋体" w:cs="Courier New"/>
          <w:b/>
          <w:color w:val="000000"/>
          <w:sz w:val="24"/>
          <w:u w:val="single"/>
          <w:lang w:val="en-US" w:eastAsia="zh-CN"/>
        </w:rPr>
        <w:t xml:space="preserve">26  </w:t>
      </w:r>
      <w:r>
        <w:rPr>
          <w:rFonts w:hint="eastAsia" w:ascii="宋体" w:hAnsi="宋体" w:cs="Courier New"/>
          <w:b/>
          <w:color w:val="000000"/>
          <w:sz w:val="24"/>
          <w:u w:val="single"/>
        </w:rPr>
        <w:t>年</w:t>
      </w:r>
      <w:r>
        <w:rPr>
          <w:rFonts w:hint="eastAsia" w:ascii="宋体" w:hAnsi="宋体" w:cs="Courier New"/>
          <w:b/>
          <w:color w:val="000000"/>
          <w:sz w:val="24"/>
          <w:u w:val="single"/>
          <w:lang w:val="en-US" w:eastAsia="zh-CN"/>
        </w:rPr>
        <w:t xml:space="preserve">  09 </w:t>
      </w:r>
      <w:r>
        <w:rPr>
          <w:rFonts w:hint="eastAsia" w:ascii="宋体" w:hAnsi="宋体" w:cs="Courier New"/>
          <w:b/>
          <w:color w:val="000000"/>
          <w:sz w:val="24"/>
          <w:u w:val="single"/>
        </w:rPr>
        <w:t>月</w:t>
      </w:r>
      <w:r>
        <w:rPr>
          <w:rFonts w:hint="eastAsia" w:ascii="宋体" w:hAnsi="宋体" w:cs="Courier New"/>
          <w:b/>
          <w:color w:val="000000"/>
          <w:sz w:val="24"/>
          <w:u w:val="single"/>
          <w:lang w:val="en-US" w:eastAsia="zh-CN"/>
        </w:rPr>
        <w:t xml:space="preserve"> 11  </w:t>
      </w:r>
      <w:r>
        <w:rPr>
          <w:rFonts w:hint="eastAsia" w:ascii="宋体" w:hAnsi="宋体" w:cs="Courier New"/>
          <w:b/>
          <w:color w:val="000000"/>
          <w:sz w:val="24"/>
          <w:u w:val="single"/>
        </w:rPr>
        <w:t>日13：30</w:t>
      </w:r>
      <w:r>
        <w:rPr>
          <w:rFonts w:hint="eastAsia" w:ascii="宋体" w:hAnsi="宋体" w:cs="Courier New"/>
          <w:b/>
          <w:color w:val="000000"/>
          <w:sz w:val="24"/>
        </w:rPr>
        <w:t>前），直接携带投标文件至开标现场，参与现场开标</w:t>
      </w:r>
      <w:r>
        <w:rPr>
          <w:rFonts w:hint="eastAsia" w:ascii="宋体" w:hAnsi="宋体" w:cs="Courier New"/>
          <w:b/>
          <w:color w:val="0D0D0D"/>
          <w:sz w:val="24"/>
        </w:rPr>
        <w:t>。</w:t>
      </w:r>
      <w:r>
        <w:rPr>
          <w:rFonts w:hint="eastAsia" w:ascii="宋体" w:hAnsi="宋体" w:cs="Courier New"/>
          <w:b/>
          <w:color w:val="0D0D0D"/>
          <w:sz w:val="24"/>
          <w:lang w:val="en-US" w:eastAsia="zh-CN"/>
        </w:rPr>
        <w:t>本次招标</w:t>
      </w:r>
      <w:r>
        <w:rPr>
          <w:rFonts w:hint="eastAsia" w:ascii="宋体" w:hAnsi="宋体" w:cs="Courier New"/>
          <w:b/>
          <w:color w:val="0D0D0D"/>
          <w:sz w:val="24"/>
          <w:highlight w:val="yellow"/>
        </w:rPr>
        <w:t>现场不设置</w:t>
      </w:r>
      <w:r>
        <w:rPr>
          <w:rFonts w:hint="eastAsia" w:ascii="宋体" w:hAnsi="宋体" w:cs="Courier New"/>
          <w:b/>
          <w:color w:val="0D0D0D"/>
          <w:sz w:val="24"/>
          <w:highlight w:val="yellow"/>
          <w:lang w:val="en-US" w:eastAsia="zh-CN"/>
        </w:rPr>
        <w:t>讲</w:t>
      </w:r>
      <w:r>
        <w:rPr>
          <w:rFonts w:hint="eastAsia" w:ascii="宋体" w:hAnsi="宋体" w:cs="Courier New"/>
          <w:b/>
          <w:color w:val="0D0D0D"/>
          <w:sz w:val="24"/>
          <w:highlight w:val="yellow"/>
        </w:rPr>
        <w:t>标环节</w:t>
      </w:r>
      <w:r>
        <w:rPr>
          <w:rFonts w:hint="eastAsia" w:ascii="宋体" w:hAnsi="宋体" w:cs="Courier New"/>
          <w:b/>
          <w:color w:val="0D0D0D"/>
          <w:sz w:val="24"/>
        </w:rPr>
        <w:t>。</w:t>
      </w:r>
    </w:p>
    <w:p w14:paraId="2C1E8B29">
      <w:pPr>
        <w:pStyle w:val="41"/>
        <w:numPr>
          <w:ilvl w:val="0"/>
          <w:numId w:val="3"/>
        </w:numPr>
        <w:spacing w:line="560" w:lineRule="exact"/>
        <w:ind w:left="0" w:firstLine="480" w:firstLineChars="200"/>
        <w:rPr>
          <w:rFonts w:hint="eastAsia" w:ascii="宋体" w:hAnsi="宋体" w:cs="Courier New"/>
          <w:color w:val="000000"/>
          <w:sz w:val="24"/>
        </w:rPr>
      </w:pPr>
      <w:r>
        <w:rPr>
          <w:rFonts w:hint="eastAsia" w:ascii="宋体" w:hAnsi="宋体" w:cs="Courier New"/>
          <w:color w:val="000000"/>
          <w:sz w:val="24"/>
        </w:rPr>
        <w:t>澄清与答疑：如有疑问，请于</w:t>
      </w:r>
      <w:r>
        <w:rPr>
          <w:rFonts w:hint="eastAsia" w:ascii="宋体" w:hAnsi="宋体" w:cs="Courier New"/>
          <w:color w:val="000000"/>
          <w:sz w:val="24"/>
          <w:lang w:val="en-US" w:eastAsia="zh-CN"/>
        </w:rPr>
        <w:t>2026</w:t>
      </w:r>
      <w:r>
        <w:rPr>
          <w:rFonts w:hint="eastAsia" w:ascii="宋体" w:hAnsi="宋体" w:cs="Courier New"/>
          <w:color w:val="000000"/>
          <w:sz w:val="24"/>
        </w:rPr>
        <w:t>年</w:t>
      </w:r>
      <w:r>
        <w:rPr>
          <w:rFonts w:hint="eastAsia" w:ascii="宋体" w:hAnsi="宋体" w:cs="Courier New"/>
          <w:color w:val="000000"/>
          <w:sz w:val="24"/>
          <w:lang w:val="en-US" w:eastAsia="zh-CN"/>
        </w:rPr>
        <w:t>09</w:t>
      </w:r>
      <w:r>
        <w:rPr>
          <w:rFonts w:hint="eastAsia" w:ascii="宋体" w:hAnsi="宋体" w:cs="Courier New"/>
          <w:color w:val="000000"/>
          <w:sz w:val="24"/>
        </w:rPr>
        <w:t>月</w:t>
      </w:r>
      <w:r>
        <w:rPr>
          <w:rFonts w:hint="eastAsia" w:ascii="宋体" w:hAnsi="宋体" w:cs="Courier New"/>
          <w:color w:val="000000"/>
          <w:sz w:val="24"/>
          <w:lang w:val="en-US" w:eastAsia="zh-CN"/>
        </w:rPr>
        <w:t>09</w:t>
      </w:r>
      <w:r>
        <w:rPr>
          <w:rFonts w:hint="eastAsia" w:ascii="宋体" w:hAnsi="宋体" w:cs="Courier New"/>
          <w:color w:val="000000"/>
          <w:sz w:val="24"/>
        </w:rPr>
        <w:t>日</w:t>
      </w:r>
      <w:r>
        <w:rPr>
          <w:rFonts w:hint="eastAsia" w:ascii="宋体" w:hAnsi="宋体" w:cs="Courier New"/>
          <w:color w:val="000000"/>
          <w:sz w:val="24"/>
          <w:lang w:val="en-US" w:eastAsia="zh-CN"/>
        </w:rPr>
        <w:t>13</w:t>
      </w:r>
      <w:r>
        <w:rPr>
          <w:rFonts w:hint="eastAsia" w:ascii="宋体" w:hAnsi="宋体" w:cs="Courier New"/>
          <w:color w:val="000000"/>
          <w:sz w:val="24"/>
        </w:rPr>
        <w:t>:</w:t>
      </w:r>
      <w:r>
        <w:rPr>
          <w:rFonts w:hint="eastAsia" w:ascii="宋体" w:hAnsi="宋体" w:cs="Courier New"/>
          <w:color w:val="000000"/>
          <w:sz w:val="24"/>
          <w:lang w:val="en-US" w:eastAsia="zh-CN"/>
        </w:rPr>
        <w:t>00</w:t>
      </w:r>
      <w:r>
        <w:rPr>
          <w:rFonts w:hint="eastAsia" w:ascii="宋体" w:hAnsi="宋体" w:cs="Courier New"/>
          <w:color w:val="000000"/>
          <w:sz w:val="24"/>
        </w:rPr>
        <w:t>前，将疑问加盖</w:t>
      </w:r>
      <w:bookmarkStart w:id="253" w:name="_GoBack"/>
      <w:bookmarkEnd w:id="253"/>
      <w:r>
        <w:rPr>
          <w:rFonts w:hint="eastAsia" w:ascii="宋体" w:hAnsi="宋体" w:cs="Courier New"/>
          <w:color w:val="000000"/>
          <w:sz w:val="24"/>
        </w:rPr>
        <w:t>公章扫描后发送至招标专用邮箱地址，邮件主题格式为“国盛期货</w:t>
      </w:r>
      <w:r>
        <w:rPr>
          <w:rFonts w:hint="eastAsia" w:ascii="宋体" w:hAnsi="宋体" w:cs="Courier New"/>
          <w:color w:val="000000"/>
          <w:sz w:val="24"/>
          <w:lang w:eastAsia="zh-CN"/>
        </w:rPr>
        <w:t>机柜维护服务框架</w:t>
      </w:r>
      <w:r>
        <w:rPr>
          <w:rFonts w:hint="eastAsia" w:ascii="宋体" w:hAnsi="宋体" w:cs="Courier New"/>
          <w:color w:val="000000"/>
          <w:sz w:val="24"/>
          <w:lang w:val="en-US" w:eastAsia="zh-CN"/>
        </w:rPr>
        <w:t>采购项目</w:t>
      </w:r>
      <w:r>
        <w:rPr>
          <w:rFonts w:hint="eastAsia" w:ascii="宋体" w:hAnsi="宋体" w:cs="Courier New"/>
          <w:color w:val="000000"/>
          <w:sz w:val="24"/>
        </w:rPr>
        <w:t>-澄清疑问”。招标人将以书面形式统一答复。</w:t>
      </w:r>
    </w:p>
    <w:p w14:paraId="1CE387AA">
      <w:pPr>
        <w:pStyle w:val="14"/>
        <w:numPr>
          <w:ilvl w:val="0"/>
          <w:numId w:val="3"/>
        </w:numPr>
        <w:spacing w:after="0" w:line="560" w:lineRule="exact"/>
        <w:ind w:left="0" w:firstLine="480" w:firstLineChars="200"/>
        <w:rPr>
          <w:rFonts w:hint="eastAsia" w:ascii="宋体" w:hAnsi="宋体"/>
          <w:sz w:val="24"/>
        </w:rPr>
      </w:pPr>
      <w:r>
        <w:rPr>
          <w:rFonts w:hint="eastAsia" w:ascii="宋体" w:hAnsi="宋体"/>
          <w:sz w:val="24"/>
        </w:rPr>
        <w:t>以上若有变更将通过</w:t>
      </w:r>
      <w:r>
        <w:rPr>
          <w:rFonts w:hint="eastAsia" w:ascii="宋体" w:hAnsi="宋体"/>
          <w:sz w:val="24"/>
          <w:lang w:val="en-US" w:eastAsia="zh-CN"/>
        </w:rPr>
        <w:t>公司官网公告</w:t>
      </w:r>
      <w:r>
        <w:rPr>
          <w:rFonts w:hint="eastAsia" w:ascii="宋体" w:hAnsi="宋体"/>
          <w:sz w:val="24"/>
        </w:rPr>
        <w:t>，请参加投标单位在递交响应性文件截止时间前关注本项目有无变更公告。</w:t>
      </w:r>
    </w:p>
    <w:p w14:paraId="5FD84B0A">
      <w:pPr>
        <w:pStyle w:val="14"/>
        <w:spacing w:after="0" w:line="560" w:lineRule="exact"/>
        <w:ind w:left="0" w:firstLine="480" w:firstLineChars="200"/>
        <w:rPr>
          <w:rFonts w:hint="eastAsia" w:ascii="宋体" w:hAnsi="宋体" w:eastAsia="宋体"/>
          <w:sz w:val="24"/>
          <w:lang w:val="en-US" w:eastAsia="zh-CN"/>
        </w:rPr>
      </w:pPr>
      <w:r>
        <w:rPr>
          <w:rFonts w:hint="eastAsia" w:ascii="宋体" w:hAnsi="宋体"/>
          <w:sz w:val="24"/>
        </w:rPr>
        <w:t>投标现场联系人：</w:t>
      </w:r>
      <w:r>
        <w:rPr>
          <w:rFonts w:hint="eastAsia" w:ascii="宋体" w:hAnsi="宋体"/>
          <w:sz w:val="24"/>
          <w:lang w:val="en-US" w:eastAsia="zh-CN"/>
        </w:rPr>
        <w:t>施长亮</w:t>
      </w:r>
    </w:p>
    <w:p w14:paraId="07C3A703">
      <w:pPr>
        <w:pStyle w:val="14"/>
        <w:spacing w:after="0" w:line="560" w:lineRule="exact"/>
        <w:ind w:left="0" w:firstLine="480" w:firstLineChars="200"/>
        <w:rPr>
          <w:rFonts w:hint="eastAsia" w:ascii="宋体" w:hAnsi="宋体"/>
          <w:sz w:val="24"/>
        </w:rPr>
      </w:pPr>
      <w:r>
        <w:rPr>
          <w:rFonts w:hint="eastAsia" w:ascii="宋体" w:hAnsi="宋体"/>
          <w:sz w:val="24"/>
        </w:rPr>
        <w:t>联系电话：</w:t>
      </w:r>
      <w:r>
        <w:rPr>
          <w:rFonts w:ascii="宋体" w:hAnsi="宋体" w:eastAsia="宋体" w:cs="宋体"/>
          <w:sz w:val="24"/>
          <w:szCs w:val="24"/>
        </w:rPr>
        <w:t>15800325295</w:t>
      </w:r>
    </w:p>
    <w:p w14:paraId="52E28DF0">
      <w:pPr>
        <w:pStyle w:val="14"/>
        <w:spacing w:after="0" w:line="560" w:lineRule="exact"/>
        <w:ind w:left="0" w:firstLine="480" w:firstLineChars="200"/>
        <w:rPr>
          <w:rFonts w:hint="default" w:ascii="宋体" w:hAnsi="宋体" w:eastAsia="宋体"/>
          <w:sz w:val="24"/>
          <w:lang w:val="en-US" w:eastAsia="zh-CN"/>
        </w:rPr>
      </w:pPr>
      <w:r>
        <w:rPr>
          <w:rFonts w:hint="eastAsia" w:ascii="宋体" w:hAnsi="宋体"/>
          <w:sz w:val="24"/>
        </w:rPr>
        <w:t>联系地址：</w:t>
      </w:r>
      <w:r>
        <w:rPr>
          <w:rFonts w:hint="eastAsia" w:ascii="宋体" w:hAnsi="宋体"/>
          <w:sz w:val="24"/>
          <w:lang w:val="en-US" w:eastAsia="zh-CN"/>
        </w:rPr>
        <w:t>上海市浦东新区世纪大道1501号国华人寿金融大厦5楼</w:t>
      </w:r>
    </w:p>
    <w:p w14:paraId="08402ACF">
      <w:pPr>
        <w:pStyle w:val="14"/>
        <w:spacing w:after="0" w:line="560" w:lineRule="exact"/>
        <w:ind w:left="0" w:firstLine="480" w:firstLineChars="200"/>
        <w:rPr>
          <w:rFonts w:hint="default" w:ascii="宋体" w:hAnsi="宋体" w:eastAsia="宋体"/>
          <w:sz w:val="24"/>
          <w:lang w:val="en-US" w:eastAsia="zh-CN"/>
        </w:rPr>
      </w:pPr>
      <w:r>
        <w:rPr>
          <w:rFonts w:hint="eastAsia" w:ascii="宋体" w:hAnsi="宋体"/>
          <w:sz w:val="24"/>
          <w:lang w:val="en-US" w:eastAsia="zh-CN"/>
        </w:rPr>
        <w:t>联系邮箱：shicl@guoshengqh.com</w:t>
      </w:r>
    </w:p>
    <w:p w14:paraId="20D99026">
      <w:pPr>
        <w:spacing w:line="360" w:lineRule="auto"/>
        <w:rPr>
          <w:rFonts w:hint="eastAsia" w:ascii="宋体" w:hAnsi="宋体" w:cs="Courier New"/>
          <w:b/>
          <w:color w:val="000000"/>
          <w:sz w:val="40"/>
        </w:rPr>
        <w:sectPr>
          <w:headerReference r:id="rId9" w:type="first"/>
          <w:headerReference r:id="rId7" w:type="default"/>
          <w:footerReference r:id="rId10" w:type="default"/>
          <w:headerReference r:id="rId8" w:type="even"/>
          <w:pgSz w:w="11906" w:h="16838"/>
          <w:pgMar w:top="1440" w:right="1797" w:bottom="1440" w:left="1797" w:header="851" w:footer="907" w:gutter="0"/>
          <w:pgNumType w:start="1"/>
          <w:cols w:space="425" w:num="1"/>
          <w:docGrid w:type="lines" w:linePitch="312" w:charSpace="0"/>
        </w:sectPr>
      </w:pPr>
    </w:p>
    <w:p w14:paraId="557BC5FD">
      <w:pPr>
        <w:pStyle w:val="2"/>
        <w:spacing w:before="120" w:after="120" w:line="240" w:lineRule="auto"/>
        <w:jc w:val="center"/>
        <w:rPr>
          <w:color w:val="000000"/>
          <w:sz w:val="30"/>
        </w:rPr>
      </w:pPr>
      <w:bookmarkStart w:id="11" w:name="_Toc509025040"/>
      <w:bookmarkStart w:id="12" w:name="_Toc523196815"/>
      <w:bookmarkStart w:id="13" w:name="_Toc57478031"/>
      <w:bookmarkStart w:id="14" w:name="_Toc57518130"/>
      <w:bookmarkStart w:id="15" w:name="_Toc23479969"/>
      <w:bookmarkStart w:id="16" w:name="_Toc184805387"/>
      <w:bookmarkStart w:id="17" w:name="_Toc57518318"/>
      <w:bookmarkStart w:id="18" w:name="_Toc509024841"/>
      <w:bookmarkStart w:id="19" w:name="_Toc20678"/>
      <w:bookmarkStart w:id="20" w:name="_Toc212001932"/>
      <w:bookmarkStart w:id="21" w:name="_Toc57518375"/>
      <w:r>
        <w:rPr>
          <w:rFonts w:hint="eastAsia"/>
          <w:color w:val="000000"/>
          <w:sz w:val="30"/>
        </w:rPr>
        <w:t>第二部分</w:t>
      </w:r>
      <w:r>
        <w:rPr>
          <w:color w:val="000000"/>
          <w:sz w:val="30"/>
        </w:rPr>
        <w:t xml:space="preserve">  </w:t>
      </w:r>
      <w:r>
        <w:rPr>
          <w:rFonts w:hint="eastAsia"/>
          <w:color w:val="000000"/>
          <w:sz w:val="30"/>
        </w:rPr>
        <w:t>投标须知</w:t>
      </w:r>
      <w:bookmarkEnd w:id="11"/>
      <w:bookmarkEnd w:id="12"/>
      <w:bookmarkEnd w:id="13"/>
      <w:bookmarkEnd w:id="14"/>
      <w:bookmarkEnd w:id="15"/>
      <w:bookmarkEnd w:id="16"/>
      <w:bookmarkEnd w:id="17"/>
      <w:bookmarkEnd w:id="18"/>
      <w:bookmarkEnd w:id="19"/>
      <w:bookmarkEnd w:id="20"/>
      <w:bookmarkEnd w:id="21"/>
    </w:p>
    <w:p w14:paraId="08675FFE">
      <w:pPr>
        <w:pStyle w:val="3"/>
      </w:pPr>
      <w:bookmarkStart w:id="22" w:name="_Toc184805388"/>
      <w:bookmarkStart w:id="23" w:name="_Toc57478032"/>
      <w:bookmarkStart w:id="24" w:name="_Toc57518319"/>
      <w:bookmarkStart w:id="25" w:name="_Toc23479970"/>
      <w:bookmarkStart w:id="26" w:name="_Toc509025041"/>
      <w:bookmarkStart w:id="27" w:name="_Toc10431"/>
      <w:bookmarkStart w:id="28" w:name="_Toc523196816"/>
      <w:bookmarkStart w:id="29" w:name="_Toc57518131"/>
      <w:bookmarkStart w:id="30" w:name="_Toc509024842"/>
      <w:bookmarkStart w:id="31" w:name="_Toc57518376"/>
      <w:bookmarkStart w:id="32" w:name="_Toc212001933"/>
      <w:r>
        <w:rPr>
          <w:rFonts w:hint="eastAsia"/>
        </w:rPr>
        <w:t>1</w:t>
      </w:r>
      <w:r>
        <w:t>.</w:t>
      </w:r>
      <w:r>
        <w:rPr>
          <w:rFonts w:hint="eastAsia"/>
        </w:rPr>
        <w:t xml:space="preserve"> 总则</w:t>
      </w:r>
      <w:bookmarkEnd w:id="22"/>
      <w:bookmarkEnd w:id="23"/>
      <w:bookmarkEnd w:id="24"/>
      <w:bookmarkEnd w:id="25"/>
      <w:bookmarkEnd w:id="26"/>
      <w:bookmarkEnd w:id="27"/>
      <w:bookmarkEnd w:id="28"/>
      <w:bookmarkEnd w:id="29"/>
      <w:bookmarkEnd w:id="30"/>
      <w:bookmarkEnd w:id="31"/>
      <w:bookmarkEnd w:id="32"/>
    </w:p>
    <w:p w14:paraId="117D94BD">
      <w:pPr>
        <w:spacing w:before="0" w:after="0"/>
        <w:ind w:firstLine="480" w:firstLineChars="200"/>
        <w:rPr>
          <w:rFonts w:hint="eastAsia" w:ascii="宋体"/>
          <w:sz w:val="24"/>
        </w:rPr>
      </w:pPr>
      <w:r>
        <w:rPr>
          <w:rFonts w:hint="eastAsia" w:ascii="宋体"/>
          <w:sz w:val="24"/>
          <w:lang w:eastAsia="zh-CN"/>
        </w:rPr>
        <w:t>国盛期货有限责任公司</w:t>
      </w:r>
      <w:r>
        <w:rPr>
          <w:rFonts w:hint="eastAsia" w:ascii="宋体"/>
          <w:sz w:val="24"/>
          <w:lang w:val="en-US" w:eastAsia="zh-CN"/>
        </w:rPr>
        <w:t>因</w:t>
      </w:r>
      <w:r>
        <w:rPr>
          <w:rFonts w:hint="eastAsia" w:ascii="宋体"/>
          <w:sz w:val="24"/>
        </w:rPr>
        <w:t>业务发展需要，拟</w:t>
      </w:r>
      <w:r>
        <w:rPr>
          <w:rFonts w:hint="eastAsia" w:ascii="宋体"/>
          <w:sz w:val="24"/>
          <w:lang w:val="en-US" w:eastAsia="zh-CN"/>
        </w:rPr>
        <w:t>通过</w:t>
      </w:r>
      <w:r>
        <w:rPr>
          <w:rFonts w:hint="eastAsia" w:ascii="宋体"/>
          <w:b/>
          <w:sz w:val="24"/>
          <w:highlight w:val="yellow"/>
          <w:lang w:val="en-US" w:eastAsia="zh-CN"/>
        </w:rPr>
        <w:t>邀请</w:t>
      </w:r>
      <w:r>
        <w:rPr>
          <w:rFonts w:hint="eastAsia" w:ascii="宋体"/>
          <w:b/>
          <w:sz w:val="24"/>
          <w:highlight w:val="yellow"/>
        </w:rPr>
        <w:t>招标</w:t>
      </w:r>
      <w:r>
        <w:rPr>
          <w:rFonts w:hint="eastAsia" w:ascii="宋体"/>
          <w:sz w:val="24"/>
        </w:rPr>
        <w:t>方式确定【国盛期货</w:t>
      </w:r>
      <w:r>
        <w:rPr>
          <w:rFonts w:hint="eastAsia" w:ascii="宋体"/>
          <w:sz w:val="24"/>
          <w:lang w:eastAsia="zh-CN"/>
        </w:rPr>
        <w:t>机柜维护服务框架</w:t>
      </w:r>
      <w:r>
        <w:rPr>
          <w:rFonts w:hint="eastAsia" w:ascii="宋体"/>
          <w:sz w:val="24"/>
          <w:lang w:val="en-US" w:eastAsia="zh-CN"/>
        </w:rPr>
        <w:t>采购项目</w:t>
      </w:r>
      <w:r>
        <w:rPr>
          <w:rFonts w:hint="eastAsia" w:ascii="宋体" w:hAnsi="宋体" w:cs="Courier New"/>
          <w:b/>
          <w:color w:val="000000"/>
          <w:sz w:val="24"/>
        </w:rPr>
        <w:t>】</w:t>
      </w:r>
      <w:r>
        <w:rPr>
          <w:rFonts w:hint="eastAsia" w:ascii="宋体" w:hAnsi="宋体" w:cs="Courier New"/>
          <w:color w:val="000000"/>
          <w:sz w:val="24"/>
        </w:rPr>
        <w:t>供应</w:t>
      </w:r>
      <w:r>
        <w:rPr>
          <w:rFonts w:hint="eastAsia" w:ascii="宋体"/>
          <w:sz w:val="24"/>
        </w:rPr>
        <w:t>商。</w:t>
      </w:r>
      <w:bookmarkStart w:id="33" w:name="_Toc57518377"/>
      <w:bookmarkStart w:id="34" w:name="_Toc509024843"/>
      <w:bookmarkStart w:id="35" w:name="_Toc212001934"/>
      <w:bookmarkStart w:id="36" w:name="_Toc523196817"/>
      <w:bookmarkStart w:id="37" w:name="_Toc23479971"/>
      <w:bookmarkStart w:id="38" w:name="_Toc57478033"/>
      <w:bookmarkStart w:id="39" w:name="_Toc509025042"/>
      <w:bookmarkStart w:id="40" w:name="_Toc57518132"/>
      <w:bookmarkStart w:id="41" w:name="_Toc57518320"/>
      <w:r>
        <w:rPr>
          <w:rFonts w:hint="eastAsia" w:ascii="宋体"/>
          <w:sz w:val="24"/>
        </w:rPr>
        <w:t>本招投标工作</w:t>
      </w:r>
      <w:r>
        <w:rPr>
          <w:rFonts w:hint="eastAsia" w:ascii="宋体"/>
          <w:sz w:val="24"/>
          <w:lang w:val="en-US" w:eastAsia="zh-CN"/>
        </w:rPr>
        <w:t>严格依照</w:t>
      </w:r>
      <w:r>
        <w:rPr>
          <w:rFonts w:hint="eastAsia" w:ascii="宋体"/>
          <w:sz w:val="24"/>
        </w:rPr>
        <w:t>《中华人民共和国招标投标法》《中华人民共和国民法典》的</w:t>
      </w:r>
      <w:r>
        <w:rPr>
          <w:rFonts w:hint="eastAsia" w:ascii="宋体"/>
          <w:sz w:val="24"/>
          <w:lang w:val="en-US" w:eastAsia="zh-CN"/>
        </w:rPr>
        <w:t>相关</w:t>
      </w:r>
      <w:r>
        <w:rPr>
          <w:rFonts w:hint="eastAsia" w:ascii="宋体"/>
          <w:sz w:val="24"/>
        </w:rPr>
        <w:t>要求</w:t>
      </w:r>
      <w:r>
        <w:rPr>
          <w:rFonts w:hint="eastAsia" w:ascii="宋体"/>
          <w:sz w:val="24"/>
          <w:lang w:val="en-US" w:eastAsia="zh-CN"/>
        </w:rPr>
        <w:t>展开</w:t>
      </w:r>
      <w:r>
        <w:rPr>
          <w:rFonts w:hint="eastAsia" w:ascii="宋体"/>
          <w:sz w:val="24"/>
        </w:rPr>
        <w:t>，</w:t>
      </w:r>
      <w:r>
        <w:rPr>
          <w:rFonts w:hint="eastAsia" w:ascii="宋体"/>
          <w:sz w:val="24"/>
          <w:lang w:val="en-US" w:eastAsia="zh-CN"/>
        </w:rPr>
        <w:t>遵循</w:t>
      </w:r>
      <w:r>
        <w:rPr>
          <w:rFonts w:hint="eastAsia" w:ascii="宋体"/>
          <w:sz w:val="24"/>
        </w:rPr>
        <w:t>公开、公平、公正和诚实信用的原则进行。</w:t>
      </w:r>
      <w:r>
        <w:rPr>
          <w:rFonts w:hint="eastAsia" w:ascii="宋体"/>
          <w:sz w:val="24"/>
          <w:lang w:val="en-US" w:eastAsia="zh-CN"/>
        </w:rPr>
        <w:t>招标文件中</w:t>
      </w:r>
      <w:r>
        <w:rPr>
          <w:rFonts w:hint="eastAsia" w:ascii="宋体"/>
          <w:sz w:val="24"/>
        </w:rPr>
        <w:t>各项要求</w:t>
      </w:r>
      <w:r>
        <w:rPr>
          <w:rFonts w:hint="eastAsia" w:ascii="宋体"/>
          <w:sz w:val="24"/>
          <w:lang w:val="en-US" w:eastAsia="zh-CN"/>
        </w:rPr>
        <w:t>均为举例，并</w:t>
      </w:r>
      <w:r>
        <w:rPr>
          <w:rFonts w:hint="eastAsia" w:ascii="宋体"/>
          <w:sz w:val="24"/>
        </w:rPr>
        <w:t>将作为定标依据。招标人将</w:t>
      </w:r>
      <w:r>
        <w:rPr>
          <w:rFonts w:hint="eastAsia" w:ascii="宋体"/>
          <w:sz w:val="24"/>
          <w:lang w:val="en-US" w:eastAsia="zh-CN"/>
        </w:rPr>
        <w:t>依据</w:t>
      </w:r>
      <w:r>
        <w:rPr>
          <w:rFonts w:hint="eastAsia" w:ascii="宋体"/>
          <w:sz w:val="24"/>
        </w:rPr>
        <w:t>中标结果，与中标单位签订项目合同</w:t>
      </w:r>
      <w:r>
        <w:rPr>
          <w:rFonts w:hint="eastAsia" w:ascii="宋体"/>
          <w:sz w:val="24"/>
          <w:lang w:eastAsia="zh-CN"/>
        </w:rPr>
        <w:t>，</w:t>
      </w:r>
      <w:r>
        <w:rPr>
          <w:rFonts w:hint="eastAsia" w:ascii="宋体"/>
          <w:sz w:val="24"/>
        </w:rPr>
        <w:t>本项目不接受联合体投标。</w:t>
      </w:r>
    </w:p>
    <w:p w14:paraId="05BF550D">
      <w:pPr>
        <w:spacing w:before="0" w:after="0"/>
        <w:ind w:firstLine="480" w:firstLineChars="200"/>
      </w:pPr>
      <w:r>
        <w:rPr>
          <w:rFonts w:hint="eastAsia" w:ascii="宋体"/>
          <w:sz w:val="24"/>
        </w:rPr>
        <w:t>所有招标文件仅供投标人在本次投标中使用，招标方对投标人提交的文件将给予保密，但不退还。未经许可不得外传或转发。招标方有权不予答复任何形式的进度咨询；若投标方试图干涉招标工作，将对其投标结果产生重大不利影响。</w:t>
      </w:r>
      <w:r>
        <w:rPr>
          <w:rFonts w:hint="eastAsia" w:ascii="宋体"/>
          <w:sz w:val="24"/>
          <w:highlight w:val="yellow"/>
          <w:lang w:val="en-US" w:eastAsia="zh-CN"/>
        </w:rPr>
        <w:t>本次</w:t>
      </w:r>
      <w:r>
        <w:rPr>
          <w:rFonts w:hint="eastAsia" w:ascii="宋体"/>
          <w:sz w:val="24"/>
          <w:highlight w:val="yellow"/>
        </w:rPr>
        <w:t>招标</w:t>
      </w:r>
      <w:r>
        <w:rPr>
          <w:rFonts w:hint="eastAsia" w:ascii="宋体"/>
          <w:sz w:val="24"/>
          <w:highlight w:val="yellow"/>
          <w:lang w:val="en-US" w:eastAsia="zh-CN"/>
        </w:rPr>
        <w:t>采用最低价法评标</w:t>
      </w:r>
      <w:r>
        <w:rPr>
          <w:rFonts w:hint="eastAsia" w:ascii="宋体"/>
          <w:sz w:val="24"/>
          <w:highlight w:val="yellow"/>
        </w:rPr>
        <w:t>。</w:t>
      </w:r>
    </w:p>
    <w:p w14:paraId="4AD9AB55">
      <w:pPr>
        <w:pStyle w:val="25"/>
        <w:keepNext w:val="0"/>
        <w:keepLines w:val="0"/>
        <w:widowControl/>
        <w:suppressLineNumbers w:val="0"/>
        <w:spacing w:beforeAutospacing="0" w:afterAutospacing="0"/>
        <w:ind w:firstLine="480" w:firstLineChars="200"/>
      </w:pPr>
      <w:r>
        <w:t>投标人须自行承担与投标相关的全部费用。投标人应详细阅读招标文件，按要求编制投标文件，明确列明技术方案与对应报价。未按要求提供的投标可能被拒绝。</w:t>
      </w:r>
    </w:p>
    <w:p w14:paraId="47AAD5EF">
      <w:pPr>
        <w:pStyle w:val="25"/>
        <w:keepNext w:val="0"/>
        <w:keepLines w:val="0"/>
        <w:widowControl/>
        <w:suppressLineNumbers w:val="0"/>
        <w:spacing w:beforeAutospacing="0" w:afterAutospacing="0"/>
        <w:ind w:firstLine="480" w:firstLineChars="200"/>
      </w:pPr>
      <w:r>
        <w:t>投标单位应根据需求说明书提供全面解决方案，明确</w:t>
      </w:r>
      <w:r>
        <w:rPr>
          <w:highlight w:val="yellow"/>
        </w:rPr>
        <w:t>服务</w:t>
      </w:r>
      <w:r>
        <w:t>细节及报价，并充分考虑承接修正方案、按开标议定价签约的能力。报价基本内容与格式详见第三部分《招标内容》。若对报价进行组合、分拆或补充，需附加详细说明，所有应收费用必须明确界定并单独列报。</w:t>
      </w:r>
    </w:p>
    <w:p w14:paraId="3BE147C8">
      <w:pPr>
        <w:pStyle w:val="3"/>
      </w:pPr>
      <w:bookmarkStart w:id="42" w:name="_Toc12993"/>
      <w:bookmarkStart w:id="43" w:name="_Toc184805389"/>
      <w:r>
        <w:rPr>
          <w:rFonts w:hint="eastAsia"/>
        </w:rPr>
        <w:t>2</w:t>
      </w:r>
      <w:r>
        <w:t>.</w:t>
      </w:r>
      <w:r>
        <w:rPr>
          <w:rFonts w:hint="eastAsia"/>
        </w:rPr>
        <w:t xml:space="preserve"> 对</w:t>
      </w:r>
      <w:r>
        <w:rPr>
          <w:rFonts w:hint="eastAsia"/>
          <w:color w:val="auto"/>
        </w:rPr>
        <w:t>投标</w:t>
      </w:r>
      <w:r>
        <w:rPr>
          <w:rFonts w:hint="eastAsia"/>
        </w:rPr>
        <w:t>方的基本要求</w:t>
      </w:r>
      <w:bookmarkEnd w:id="33"/>
      <w:bookmarkEnd w:id="34"/>
      <w:bookmarkEnd w:id="35"/>
      <w:bookmarkEnd w:id="36"/>
      <w:bookmarkEnd w:id="37"/>
      <w:bookmarkEnd w:id="38"/>
      <w:bookmarkEnd w:id="39"/>
      <w:bookmarkEnd w:id="40"/>
      <w:bookmarkEnd w:id="41"/>
      <w:bookmarkEnd w:id="42"/>
      <w:bookmarkEnd w:id="43"/>
    </w:p>
    <w:p w14:paraId="42F38618">
      <w:pPr>
        <w:spacing w:before="0" w:after="0"/>
        <w:ind w:firstLine="480" w:firstLineChars="200"/>
        <w:rPr>
          <w:rFonts w:ascii="宋体"/>
          <w:sz w:val="24"/>
        </w:rPr>
      </w:pPr>
      <w:r>
        <w:rPr>
          <w:rFonts w:hint="eastAsia" w:ascii="宋体" w:hAnsi="宋体"/>
          <w:sz w:val="24"/>
        </w:rPr>
        <w:t>关于投标人资格</w:t>
      </w:r>
      <w:r>
        <w:rPr>
          <w:rFonts w:hint="eastAsia" w:ascii="宋体" w:hAnsi="宋体"/>
          <w:sz w:val="24"/>
          <w:lang w:eastAsia="zh-CN"/>
        </w:rPr>
        <w:t>，</w:t>
      </w:r>
      <w:r>
        <w:rPr>
          <w:rFonts w:hint="eastAsia" w:ascii="宋体" w:hAnsi="宋体"/>
          <w:b/>
          <w:bCs/>
          <w:color w:val="000000"/>
          <w:sz w:val="24"/>
        </w:rPr>
        <w:t>投标人必须认真阅读以下内容，以免造成废标</w:t>
      </w:r>
      <w:r>
        <w:rPr>
          <w:rFonts w:hint="eastAsia" w:ascii="宋体"/>
          <w:b/>
          <w:sz w:val="24"/>
        </w:rPr>
        <w:t>。</w:t>
      </w:r>
    </w:p>
    <w:p w14:paraId="5C32F60F">
      <w:pPr>
        <w:numPr>
          <w:ilvl w:val="0"/>
          <w:numId w:val="4"/>
        </w:numPr>
        <w:spacing w:before="0" w:after="0"/>
        <w:ind w:left="0" w:firstLine="480" w:firstLineChars="200"/>
        <w:rPr>
          <w:rFonts w:ascii="宋体"/>
          <w:sz w:val="24"/>
        </w:rPr>
      </w:pPr>
      <w:r>
        <w:rPr>
          <w:rFonts w:hint="eastAsia" w:ascii="宋体"/>
          <w:sz w:val="24"/>
        </w:rPr>
        <w:t>投标人必须</w:t>
      </w:r>
      <w:r>
        <w:rPr>
          <w:rFonts w:hint="eastAsia" w:ascii="宋体" w:cs="Times New Roman"/>
          <w:b w:val="0"/>
          <w:bCs w:val="0"/>
          <w:sz w:val="24"/>
          <w:lang w:val="en-US" w:eastAsia="zh-CN"/>
        </w:rPr>
        <w:t>是</w:t>
      </w:r>
      <w:r>
        <w:rPr>
          <w:rFonts w:hint="eastAsia" w:ascii="宋体" w:hAnsi="Times New Roman" w:cs="Times New Roman"/>
          <w:sz w:val="24"/>
          <w:szCs w:val="21"/>
        </w:rPr>
        <w:t>中华人民共和国境内注册的具有独立承担民事责任的法人或其他组织，经营范围符合项目要求，</w:t>
      </w:r>
      <w:r>
        <w:rPr>
          <w:rFonts w:hint="eastAsia" w:ascii="宋体"/>
          <w:sz w:val="24"/>
        </w:rPr>
        <w:t>在行业内具有良好的商业信誉和健全的财务会计制度，有依法缴纳税收和社会保障资金的良好记录</w:t>
      </w:r>
      <w:r>
        <w:rPr>
          <w:rFonts w:hint="eastAsia" w:ascii="宋体"/>
          <w:sz w:val="24"/>
          <w:lang w:eastAsia="zh-CN"/>
        </w:rPr>
        <w:t>。</w:t>
      </w:r>
    </w:p>
    <w:p w14:paraId="1A81BE29">
      <w:pPr>
        <w:numPr>
          <w:ilvl w:val="0"/>
          <w:numId w:val="4"/>
        </w:numPr>
        <w:spacing w:before="0" w:after="0"/>
        <w:ind w:left="0" w:firstLine="480" w:firstLineChars="200"/>
        <w:rPr>
          <w:rFonts w:ascii="宋体"/>
          <w:sz w:val="24"/>
        </w:rPr>
      </w:pPr>
      <w:r>
        <w:rPr>
          <w:rFonts w:hint="eastAsia" w:ascii="宋体"/>
          <w:sz w:val="24"/>
          <w:lang w:val="en-US" w:eastAsia="zh-CN"/>
        </w:rPr>
        <w:t>投标人</w:t>
      </w:r>
      <w:r>
        <w:rPr>
          <w:rFonts w:hint="eastAsia" w:ascii="宋体" w:hAnsi="Times New Roman"/>
          <w:sz w:val="24"/>
          <w:lang w:val="en-US" w:eastAsia="zh-CN"/>
        </w:rPr>
        <w:t>近三年</w:t>
      </w:r>
      <w:r>
        <w:rPr>
          <w:rFonts w:hint="eastAsia" w:ascii="宋体" w:hAnsi="Times New Roman"/>
          <w:sz w:val="24"/>
        </w:rPr>
        <w:t>内在经营活动中没有重大违法记录、无重大事故</w:t>
      </w:r>
      <w:r>
        <w:rPr>
          <w:rFonts w:hint="eastAsia" w:ascii="宋体"/>
          <w:sz w:val="24"/>
        </w:rPr>
        <w:t>。</w:t>
      </w:r>
    </w:p>
    <w:p w14:paraId="7E68F824">
      <w:pPr>
        <w:numPr>
          <w:ilvl w:val="0"/>
          <w:numId w:val="4"/>
        </w:numPr>
        <w:spacing w:before="0" w:after="0"/>
        <w:ind w:left="0" w:firstLine="480" w:firstLineChars="200"/>
        <w:rPr>
          <w:rFonts w:ascii="宋体"/>
          <w:sz w:val="24"/>
        </w:rPr>
      </w:pPr>
      <w:r>
        <w:rPr>
          <w:rFonts w:hint="eastAsia" w:ascii="宋体"/>
          <w:sz w:val="24"/>
        </w:rPr>
        <w:t>投标人必须具有足够能力保证按照招标方提出的要求按时、按质、按量完成项目，具备履行合同所必需的资源与能力，</w:t>
      </w:r>
      <w:r>
        <w:rPr>
          <w:rFonts w:hint="eastAsia" w:ascii="宋体" w:hAnsi="Times New Roman" w:eastAsia="宋体" w:cs="Times New Roman"/>
          <w:b w:val="0"/>
          <w:bCs w:val="0"/>
          <w:color w:val="auto"/>
          <w:sz w:val="24"/>
          <w:lang w:val="en-US" w:eastAsia="zh-CN"/>
        </w:rPr>
        <w:t>同时具有为期货、</w:t>
      </w:r>
      <w:r>
        <w:rPr>
          <w:rFonts w:hint="eastAsia" w:ascii="宋体" w:hAnsi="Times New Roman" w:eastAsia="宋体" w:cs="Times New Roman"/>
          <w:b w:val="0"/>
          <w:bCs w:val="0"/>
          <w:color w:val="auto"/>
          <w:sz w:val="24"/>
        </w:rPr>
        <w:t>证券、</w:t>
      </w:r>
      <w:r>
        <w:rPr>
          <w:rFonts w:hint="eastAsia" w:ascii="宋体" w:hAnsi="Times New Roman" w:eastAsia="宋体" w:cs="Times New Roman"/>
          <w:b w:val="0"/>
          <w:bCs w:val="0"/>
          <w:color w:val="auto"/>
          <w:sz w:val="24"/>
          <w:lang w:val="en-US" w:eastAsia="zh-CN"/>
        </w:rPr>
        <w:t>基金金融</w:t>
      </w:r>
      <w:r>
        <w:rPr>
          <w:rFonts w:hint="eastAsia" w:ascii="宋体" w:hAnsi="Times New Roman" w:eastAsia="宋体" w:cs="Times New Roman"/>
          <w:b w:val="0"/>
          <w:bCs w:val="0"/>
          <w:color w:val="auto"/>
          <w:sz w:val="24"/>
        </w:rPr>
        <w:t>行业</w:t>
      </w:r>
      <w:r>
        <w:rPr>
          <w:rFonts w:hint="eastAsia" w:ascii="宋体" w:hAnsi="Times New Roman"/>
          <w:sz w:val="24"/>
        </w:rPr>
        <w:t>提供类似或近似本项目需求或要求的成功案例</w:t>
      </w:r>
      <w:r>
        <w:rPr>
          <w:rFonts w:hint="eastAsia" w:ascii="宋体"/>
          <w:sz w:val="24"/>
        </w:rPr>
        <w:t>。</w:t>
      </w:r>
    </w:p>
    <w:p w14:paraId="1C0487B3">
      <w:pPr>
        <w:numPr>
          <w:ilvl w:val="0"/>
          <w:numId w:val="4"/>
        </w:numPr>
        <w:spacing w:before="0" w:after="0"/>
        <w:ind w:left="0" w:firstLine="480" w:firstLineChars="200"/>
        <w:rPr>
          <w:rFonts w:ascii="宋体"/>
          <w:sz w:val="24"/>
        </w:rPr>
      </w:pPr>
      <w:r>
        <w:rPr>
          <w:rFonts w:hint="eastAsia" w:ascii="宋体"/>
          <w:sz w:val="24"/>
        </w:rPr>
        <w:t>投标人必须具备《招标文件的编制》所列的合格投标人条件，具有包括行政部门的经营、制造和销售等方面的许可，具有必要的相关授权，证明其投标资格和中标后履约能力的文件（详见《招标文件的编制》）。</w:t>
      </w:r>
    </w:p>
    <w:p w14:paraId="74D69300">
      <w:pPr>
        <w:numPr>
          <w:ilvl w:val="0"/>
          <w:numId w:val="4"/>
        </w:numPr>
        <w:spacing w:before="0" w:after="0"/>
        <w:ind w:left="0" w:firstLine="480" w:firstLineChars="200"/>
        <w:rPr>
          <w:rFonts w:ascii="宋体"/>
          <w:sz w:val="24"/>
        </w:rPr>
      </w:pPr>
      <w:r>
        <w:rPr>
          <w:rFonts w:hint="eastAsia" w:ascii="宋体"/>
          <w:sz w:val="24"/>
        </w:rPr>
        <w:t>证明投标人资格的所有文件必须满足：由有权签发或授权的机构签发或授权；资格证明文件应该覆盖履行本次采购合同的基本义务所需期限。对有效期不能覆盖合同期限的证书，投标人必须在投标文件中承诺其与采购人签约时将出示覆盖合同期限的有效证书，并为违反承诺承担法律责任。</w:t>
      </w:r>
    </w:p>
    <w:p w14:paraId="66D250F2">
      <w:pPr>
        <w:numPr>
          <w:ilvl w:val="0"/>
          <w:numId w:val="4"/>
        </w:numPr>
        <w:spacing w:before="0" w:after="0"/>
        <w:ind w:left="0" w:firstLine="480" w:firstLineChars="200"/>
        <w:rPr>
          <w:rFonts w:ascii="宋体"/>
          <w:sz w:val="24"/>
        </w:rPr>
      </w:pPr>
      <w:r>
        <w:rPr>
          <w:rFonts w:hint="eastAsia" w:ascii="宋体"/>
          <w:sz w:val="24"/>
        </w:rPr>
        <w:t>投标人不满足上述要求的，其投标将被视为无效。</w:t>
      </w:r>
    </w:p>
    <w:p w14:paraId="6C3D5E27">
      <w:pPr>
        <w:spacing w:before="0" w:after="0"/>
        <w:ind w:firstLine="482" w:firstLineChars="200"/>
        <w:rPr>
          <w:rFonts w:ascii="宋体"/>
          <w:sz w:val="24"/>
        </w:rPr>
      </w:pPr>
      <w:r>
        <w:rPr>
          <w:rFonts w:hint="eastAsia" w:ascii="宋体" w:hAnsi="宋体"/>
          <w:b/>
          <w:bCs/>
          <w:sz w:val="24"/>
        </w:rPr>
        <w:t>如投标方的承诺不能实现或招标方判定不能满足招标方的要求的，招标方有权在项目实施过程中更改招标结果，更换服务商</w:t>
      </w:r>
      <w:r>
        <w:rPr>
          <w:rFonts w:hint="eastAsia" w:ascii="宋体"/>
          <w:b/>
          <w:bCs/>
          <w:color w:val="000000"/>
          <w:sz w:val="24"/>
        </w:rPr>
        <w:t>。</w:t>
      </w:r>
    </w:p>
    <w:p w14:paraId="25820356">
      <w:pPr>
        <w:pStyle w:val="3"/>
      </w:pPr>
      <w:bookmarkStart w:id="44" w:name="_Toc57478034"/>
      <w:bookmarkStart w:id="45" w:name="_Toc523196818"/>
      <w:bookmarkStart w:id="46" w:name="_Toc509024844"/>
      <w:bookmarkStart w:id="47" w:name="_Toc212001935"/>
      <w:bookmarkStart w:id="48" w:name="_Toc3174"/>
      <w:bookmarkStart w:id="49" w:name="_Toc23479972"/>
      <w:bookmarkStart w:id="50" w:name="_Toc57518321"/>
      <w:bookmarkStart w:id="51" w:name="_Toc57518133"/>
      <w:bookmarkStart w:id="52" w:name="_Toc57518378"/>
      <w:bookmarkStart w:id="53" w:name="_Toc184805390"/>
      <w:bookmarkStart w:id="54" w:name="_Toc509025043"/>
      <w:r>
        <w:rPr>
          <w:rFonts w:hint="eastAsia"/>
        </w:rPr>
        <w:t>3</w:t>
      </w:r>
      <w:r>
        <w:t>.</w:t>
      </w:r>
      <w:r>
        <w:rPr>
          <w:rFonts w:hint="eastAsia"/>
        </w:rPr>
        <w:t xml:space="preserve"> </w:t>
      </w:r>
      <w:r>
        <w:rPr>
          <w:rFonts w:hint="eastAsia"/>
          <w:color w:val="auto"/>
        </w:rPr>
        <w:t>投标</w:t>
      </w:r>
      <w:r>
        <w:rPr>
          <w:rFonts w:hint="eastAsia"/>
        </w:rPr>
        <w:t>文件的编制</w:t>
      </w:r>
      <w:bookmarkEnd w:id="44"/>
      <w:bookmarkEnd w:id="45"/>
      <w:bookmarkEnd w:id="46"/>
      <w:bookmarkEnd w:id="47"/>
      <w:bookmarkEnd w:id="48"/>
      <w:bookmarkEnd w:id="49"/>
      <w:bookmarkEnd w:id="50"/>
      <w:bookmarkEnd w:id="51"/>
      <w:bookmarkEnd w:id="52"/>
      <w:bookmarkEnd w:id="53"/>
      <w:bookmarkEnd w:id="54"/>
    </w:p>
    <w:p w14:paraId="4C579F22">
      <w:pPr>
        <w:spacing w:before="0" w:after="0"/>
        <w:ind w:firstLine="480" w:firstLineChars="200"/>
        <w:rPr>
          <w:b w:val="0"/>
          <w:bCs w:val="0"/>
          <w:color w:val="0D0D0D"/>
          <w:sz w:val="24"/>
          <w:szCs w:val="24"/>
        </w:rPr>
      </w:pPr>
      <w:r>
        <w:rPr>
          <w:rFonts w:hint="eastAsia" w:ascii="宋体"/>
          <w:sz w:val="24"/>
        </w:rPr>
        <w:t>投标文件应</w:t>
      </w:r>
      <w:r>
        <w:rPr>
          <w:rFonts w:hint="eastAsia" w:ascii="宋体"/>
          <w:sz w:val="24"/>
          <w:lang w:val="en-US" w:eastAsia="zh-CN"/>
        </w:rPr>
        <w:t>包含纸</w:t>
      </w:r>
      <w:r>
        <w:rPr>
          <w:rFonts w:hint="eastAsia" w:ascii="宋体"/>
          <w:sz w:val="24"/>
          <w:highlight w:val="none"/>
          <w:lang w:val="en-US" w:eastAsia="zh-CN"/>
        </w:rPr>
        <w:t>质文件</w:t>
      </w:r>
      <w:r>
        <w:rPr>
          <w:rFonts w:hint="eastAsia" w:ascii="宋体"/>
          <w:sz w:val="24"/>
          <w:highlight w:val="none"/>
        </w:rPr>
        <w:t>和电子文档（U盘）。</w:t>
      </w:r>
      <w:r>
        <w:rPr>
          <w:rFonts w:hint="eastAsia" w:ascii="宋体"/>
          <w:sz w:val="24"/>
          <w:lang w:val="en-US" w:eastAsia="zh-CN"/>
        </w:rPr>
        <w:t>纸质</w:t>
      </w:r>
      <w:r>
        <w:rPr>
          <w:rFonts w:hint="eastAsia" w:ascii="宋体"/>
          <w:sz w:val="24"/>
        </w:rPr>
        <w:t>投标文件一律采用</w:t>
      </w:r>
      <w:r>
        <w:rPr>
          <w:rFonts w:ascii="宋体"/>
          <w:sz w:val="24"/>
        </w:rPr>
        <w:t>A4</w:t>
      </w:r>
      <w:r>
        <w:rPr>
          <w:rFonts w:hint="eastAsia" w:ascii="宋体"/>
          <w:sz w:val="24"/>
        </w:rPr>
        <w:t>纸印制。投标方必须随投标书提供具有全部投标书内容的U盘文件</w:t>
      </w:r>
      <w:r>
        <w:rPr>
          <w:rFonts w:hint="eastAsia" w:ascii="宋体"/>
          <w:sz w:val="24"/>
          <w:lang w:eastAsia="zh-CN"/>
        </w:rPr>
        <w:t>，</w:t>
      </w:r>
      <w:r>
        <w:rPr>
          <w:rFonts w:hint="eastAsia" w:ascii="宋体"/>
          <w:sz w:val="24"/>
        </w:rPr>
        <w:t>投标内容以招标书为准。</w:t>
      </w:r>
      <w:r>
        <w:rPr>
          <w:rFonts w:hint="eastAsia" w:ascii="宋体"/>
          <w:sz w:val="24"/>
          <w:lang w:val="en-US" w:eastAsia="zh-CN"/>
        </w:rPr>
        <w:t>其中</w:t>
      </w:r>
      <w:r>
        <w:rPr>
          <w:rFonts w:hint="eastAsia" w:ascii="宋体"/>
          <w:b w:val="0"/>
          <w:bCs w:val="0"/>
          <w:sz w:val="24"/>
          <w:lang w:val="en-US" w:eastAsia="zh-CN"/>
        </w:rPr>
        <w:t>，</w:t>
      </w:r>
      <w:r>
        <w:rPr>
          <w:rFonts w:hint="eastAsia"/>
          <w:b w:val="0"/>
          <w:bCs w:val="0"/>
          <w:color w:val="0D0D0D"/>
          <w:sz w:val="24"/>
          <w:szCs w:val="24"/>
          <w:lang w:val="en-US" w:eastAsia="zh-CN"/>
        </w:rPr>
        <w:t>纸质</w:t>
      </w:r>
      <w:r>
        <w:rPr>
          <w:rFonts w:hint="eastAsia"/>
          <w:b w:val="0"/>
          <w:bCs w:val="0"/>
          <w:color w:val="0D0D0D"/>
          <w:sz w:val="24"/>
          <w:szCs w:val="24"/>
        </w:rPr>
        <w:t>投标文件的</w:t>
      </w:r>
      <w:r>
        <w:rPr>
          <w:rFonts w:hint="eastAsia"/>
          <w:b w:val="0"/>
          <w:bCs w:val="0"/>
          <w:color w:val="0D0D0D"/>
          <w:sz w:val="24"/>
          <w:szCs w:val="24"/>
          <w:lang w:val="en-US" w:eastAsia="zh-CN"/>
        </w:rPr>
        <w:t>编制要求</w:t>
      </w:r>
      <w:r>
        <w:rPr>
          <w:rFonts w:hint="eastAsia"/>
          <w:b w:val="0"/>
          <w:bCs w:val="0"/>
          <w:color w:val="0D0D0D"/>
          <w:sz w:val="24"/>
          <w:szCs w:val="24"/>
        </w:rPr>
        <w:t>：</w:t>
      </w:r>
    </w:p>
    <w:p w14:paraId="12212F02">
      <w:pPr>
        <w:numPr>
          <w:ilvl w:val="0"/>
          <w:numId w:val="5"/>
        </w:numPr>
        <w:spacing w:before="0" w:after="0"/>
        <w:ind w:left="0" w:firstLine="480" w:firstLineChars="200"/>
        <w:rPr>
          <w:rFonts w:hint="eastAsia" w:ascii="宋体" w:hAnsi="Times New Roman"/>
          <w:kern w:val="0"/>
          <w:sz w:val="24"/>
          <w:szCs w:val="21"/>
        </w:rPr>
      </w:pPr>
      <w:r>
        <w:rPr>
          <w:rFonts w:hint="eastAsia" w:ascii="宋体" w:hAnsi="Times New Roman"/>
          <w:kern w:val="0"/>
          <w:sz w:val="24"/>
          <w:szCs w:val="21"/>
        </w:rPr>
        <w:t>投标人应填写全称，同时加盖公章，否则将导致其投标被拒绝。</w:t>
      </w:r>
    </w:p>
    <w:p w14:paraId="314E127F">
      <w:pPr>
        <w:numPr>
          <w:ilvl w:val="0"/>
          <w:numId w:val="5"/>
        </w:numPr>
        <w:spacing w:before="0" w:after="0"/>
        <w:ind w:firstLine="480" w:firstLineChars="200"/>
        <w:rPr>
          <w:rFonts w:hint="eastAsia" w:ascii="宋体"/>
          <w:sz w:val="24"/>
        </w:rPr>
      </w:pPr>
      <w:r>
        <w:rPr>
          <w:rFonts w:hint="eastAsia" w:ascii="宋体" w:hAnsi="Times New Roman"/>
          <w:kern w:val="0"/>
          <w:sz w:val="24"/>
          <w:szCs w:val="21"/>
        </w:rPr>
        <w:t>投标文件正本应由投标人法定代表或其授权代表签署并加盖公章，否则将导致其投标被拒绝。</w:t>
      </w:r>
    </w:p>
    <w:p w14:paraId="308897DA">
      <w:pPr>
        <w:numPr>
          <w:ilvl w:val="0"/>
          <w:numId w:val="5"/>
        </w:numPr>
        <w:spacing w:before="0" w:after="0"/>
        <w:ind w:firstLine="480" w:firstLineChars="200"/>
        <w:rPr>
          <w:rFonts w:hint="eastAsia" w:ascii="宋体"/>
          <w:b w:val="0"/>
          <w:sz w:val="24"/>
        </w:rPr>
      </w:pPr>
      <w:r>
        <w:rPr>
          <w:rFonts w:hint="eastAsia" w:ascii="宋体" w:hAnsi="Times New Roman"/>
          <w:b w:val="0"/>
          <w:kern w:val="0"/>
          <w:sz w:val="24"/>
          <w:szCs w:val="21"/>
        </w:rPr>
        <w:t>投标文件正本一份、副本</w:t>
      </w:r>
      <w:r>
        <w:rPr>
          <w:rFonts w:hint="eastAsia" w:ascii="宋体" w:hAnsi="Times New Roman"/>
          <w:b w:val="0"/>
          <w:kern w:val="0"/>
          <w:sz w:val="24"/>
          <w:szCs w:val="21"/>
          <w:highlight w:val="none"/>
        </w:rPr>
        <w:t>一</w:t>
      </w:r>
      <w:r>
        <w:rPr>
          <w:rFonts w:hint="eastAsia" w:ascii="宋体" w:hAnsi="Times New Roman"/>
          <w:b w:val="0"/>
          <w:kern w:val="0"/>
          <w:sz w:val="24"/>
          <w:szCs w:val="21"/>
        </w:rPr>
        <w:t>份、电子文档一份。</w:t>
      </w:r>
      <w:r>
        <w:rPr>
          <w:rFonts w:hint="eastAsia" w:ascii="宋体"/>
          <w:b w:val="0"/>
          <w:sz w:val="24"/>
        </w:rPr>
        <w:t>投标文件应由投标书、资格证明文件及技术文件三部分组成，且在封面标明“正本”“副本”字样。</w:t>
      </w:r>
    </w:p>
    <w:p w14:paraId="6A616DFB">
      <w:pPr>
        <w:numPr>
          <w:ilvl w:val="0"/>
          <w:numId w:val="5"/>
        </w:numPr>
        <w:spacing w:before="0" w:after="0"/>
        <w:ind w:firstLine="480" w:firstLineChars="200"/>
        <w:rPr>
          <w:rFonts w:hint="eastAsia" w:ascii="宋体"/>
          <w:sz w:val="24"/>
        </w:rPr>
      </w:pPr>
      <w:r>
        <w:rPr>
          <w:rFonts w:hint="eastAsia" w:ascii="宋体" w:hAnsi="Times New Roman"/>
          <w:kern w:val="0"/>
          <w:sz w:val="24"/>
          <w:szCs w:val="21"/>
        </w:rPr>
        <w:t>正本中除招标文件中明确注明复印件的用复印件外，其余内容均需用原件。副本可以用复印件。投标文件的正本必须用不退色的墨水填写或打印，并在封面标明“正本”字样；投标文件的副本须在封面标明“副本”字样。</w:t>
      </w:r>
      <w:r>
        <w:rPr>
          <w:rFonts w:hint="eastAsia" w:ascii="宋体"/>
          <w:sz w:val="24"/>
        </w:rPr>
        <w:t>如副本与正本之间有任何差异，以正本为准。投标文件如有修正错漏处，必须由同一签署人在修改处签字或盖章。</w:t>
      </w:r>
    </w:p>
    <w:p w14:paraId="59E6B23D">
      <w:pPr>
        <w:numPr>
          <w:ilvl w:val="0"/>
          <w:numId w:val="5"/>
        </w:numPr>
        <w:spacing w:before="0" w:after="0"/>
        <w:ind w:firstLine="480" w:firstLineChars="200"/>
        <w:rPr>
          <w:rFonts w:hint="eastAsia" w:ascii="宋体"/>
          <w:sz w:val="24"/>
        </w:rPr>
      </w:pPr>
      <w:r>
        <w:rPr>
          <w:rFonts w:hint="eastAsia" w:ascii="宋体"/>
          <w:sz w:val="24"/>
        </w:rPr>
        <w:t>投标单位编制投标文件应按照招标文件所规定的格式、内容，逐项填写齐全</w:t>
      </w:r>
      <w:r>
        <w:rPr>
          <w:rFonts w:hint="eastAsia" w:ascii="宋体"/>
          <w:sz w:val="24"/>
          <w:lang w:eastAsia="zh-CN"/>
        </w:rPr>
        <w:t>，</w:t>
      </w:r>
      <w:r>
        <w:rPr>
          <w:rFonts w:hint="eastAsia" w:ascii="宋体" w:hAnsi="Times New Roman"/>
          <w:kern w:val="0"/>
          <w:sz w:val="24"/>
          <w:szCs w:val="21"/>
        </w:rPr>
        <w:t>字迹清楚，表达准确、真实</w:t>
      </w:r>
      <w:r>
        <w:rPr>
          <w:rFonts w:hint="eastAsia" w:ascii="宋体"/>
          <w:sz w:val="24"/>
        </w:rPr>
        <w:t>（必要时可增添相应说明或文字描述），并提交全部必要的资格证明文件，投标文件与招标文件存在差异处，应统一汇总说明，否则投标无效。</w:t>
      </w:r>
    </w:p>
    <w:p w14:paraId="17E41321">
      <w:pPr>
        <w:numPr>
          <w:ilvl w:val="0"/>
          <w:numId w:val="5"/>
        </w:numPr>
        <w:spacing w:before="0" w:after="0"/>
        <w:ind w:firstLine="480" w:firstLineChars="200"/>
        <w:rPr>
          <w:rFonts w:hint="eastAsia" w:ascii="宋体"/>
          <w:b w:val="0"/>
          <w:color w:val="auto"/>
          <w:sz w:val="24"/>
          <w:szCs w:val="21"/>
        </w:rPr>
      </w:pPr>
      <w:r>
        <w:rPr>
          <w:rFonts w:hint="eastAsia" w:ascii="宋体"/>
          <w:b w:val="0"/>
          <w:color w:val="auto"/>
          <w:sz w:val="24"/>
          <w:szCs w:val="21"/>
        </w:rPr>
        <w:t>投标书部分应包括：</w:t>
      </w:r>
    </w:p>
    <w:p w14:paraId="22866D9B">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投标书</w:t>
      </w:r>
      <w:r>
        <w:rPr>
          <w:rFonts w:ascii="宋体" w:hAnsi="宋体"/>
          <w:color w:val="0D0D0D"/>
          <w:sz w:val="24"/>
          <w:szCs w:val="24"/>
        </w:rPr>
        <w:t>（</w:t>
      </w:r>
      <w:r>
        <w:rPr>
          <w:rFonts w:hint="eastAsia" w:ascii="宋体" w:hAnsi="宋体"/>
          <w:color w:val="0D0D0D"/>
          <w:sz w:val="24"/>
          <w:szCs w:val="24"/>
        </w:rPr>
        <w:t>格式见附件1</w:t>
      </w:r>
      <w:r>
        <w:rPr>
          <w:rFonts w:ascii="宋体" w:hAnsi="宋体"/>
          <w:color w:val="0D0D0D"/>
          <w:sz w:val="24"/>
          <w:szCs w:val="24"/>
        </w:rPr>
        <w:t>）</w:t>
      </w:r>
    </w:p>
    <w:p w14:paraId="1A278729">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分项报价清单（格式见附件2）</w:t>
      </w:r>
    </w:p>
    <w:p w14:paraId="31B6D725">
      <w:pPr>
        <w:numPr>
          <w:ilvl w:val="0"/>
          <w:numId w:val="5"/>
        </w:numPr>
        <w:spacing w:before="0" w:after="0"/>
        <w:ind w:firstLine="480" w:firstLineChars="200"/>
        <w:rPr>
          <w:rFonts w:hint="eastAsia" w:ascii="宋体"/>
          <w:b w:val="0"/>
          <w:color w:val="auto"/>
          <w:sz w:val="24"/>
          <w:szCs w:val="21"/>
        </w:rPr>
      </w:pPr>
      <w:r>
        <w:rPr>
          <w:rFonts w:hint="eastAsia" w:ascii="宋体"/>
          <w:b w:val="0"/>
          <w:color w:val="auto"/>
          <w:sz w:val="24"/>
          <w:szCs w:val="21"/>
        </w:rPr>
        <w:t>资格证明文件部分应包括：</w:t>
      </w:r>
    </w:p>
    <w:p w14:paraId="4E6876B0">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投标人资格声明（格式见附件3）</w:t>
      </w:r>
    </w:p>
    <w:p w14:paraId="189E2C62">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公司情况简介（主营业务、资质、人员、国内机构分布情况等）</w:t>
      </w:r>
    </w:p>
    <w:p w14:paraId="07197B67">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营业执照复印件（加盖公章）</w:t>
      </w:r>
    </w:p>
    <w:p w14:paraId="779FE30D">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供应商纳税信息登记表（格式见附件4）</w:t>
      </w:r>
    </w:p>
    <w:p w14:paraId="4BD6523F">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法人、授权代表人的身份证明复印件（加盖公章）</w:t>
      </w:r>
    </w:p>
    <w:p w14:paraId="781E23B5">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投标人通过“信用中国”网站（www.creditchina.gov.cn）查询相关主体信用记录的截图并加盖单位公章，截止时点为投标截止时间前五个工作日内（以网页打印的时间为准）</w:t>
      </w:r>
    </w:p>
    <w:p w14:paraId="374CDB61">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依法缴纳税收的记录（提供投标截止日期之前12个月内任一期纳税记录或证明文件）</w:t>
      </w:r>
    </w:p>
    <w:p w14:paraId="1A88DF33">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依法缴纳社会保障资金的记录（提供投标截止日期之前12个月内任一期缴费记录或证明）</w:t>
      </w:r>
    </w:p>
    <w:p w14:paraId="0FE75B88">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质量体系认证证明材料复印件（加盖公章）</w:t>
      </w:r>
    </w:p>
    <w:p w14:paraId="39AF2621">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原厂商授权书（需求中的硬件和软件）</w:t>
      </w:r>
    </w:p>
    <w:p w14:paraId="0F56A2E6">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会计师事务所出具的财务状况审验报告复印件（</w:t>
      </w:r>
      <w:r>
        <w:rPr>
          <w:rFonts w:hint="eastAsia" w:ascii="宋体" w:hAnsi="宋体"/>
          <w:sz w:val="24"/>
          <w:szCs w:val="24"/>
          <w:highlight w:val="none"/>
        </w:rPr>
        <w:t>近三年并</w:t>
      </w:r>
      <w:r>
        <w:rPr>
          <w:rFonts w:hint="eastAsia" w:ascii="宋体" w:hAnsi="宋体"/>
          <w:sz w:val="24"/>
          <w:szCs w:val="24"/>
        </w:rPr>
        <w:t>加盖公章</w:t>
      </w:r>
      <w:r>
        <w:rPr>
          <w:rFonts w:hint="eastAsia" w:ascii="宋体" w:hAnsi="宋体"/>
          <w:color w:val="0D0D0D"/>
          <w:sz w:val="24"/>
          <w:szCs w:val="24"/>
        </w:rPr>
        <w:t>）</w:t>
      </w:r>
    </w:p>
    <w:p w14:paraId="09B3FC0B">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同类项目案例说明（</w:t>
      </w:r>
      <w:r>
        <w:rPr>
          <w:rFonts w:hint="eastAsia" w:ascii="宋体" w:hAnsi="宋体"/>
          <w:sz w:val="24"/>
          <w:szCs w:val="24"/>
        </w:rPr>
        <w:t>需提供合同盖章页复印件并加盖公章，案例较多则应以</w:t>
      </w:r>
      <w:r>
        <w:rPr>
          <w:rFonts w:hint="eastAsia" w:ascii="宋体" w:hAnsi="宋体"/>
          <w:sz w:val="24"/>
          <w:szCs w:val="24"/>
          <w:lang w:val="en-US" w:eastAsia="zh-CN"/>
        </w:rPr>
        <w:t>期货、</w:t>
      </w:r>
      <w:r>
        <w:rPr>
          <w:rFonts w:hint="eastAsia" w:ascii="宋体" w:hAnsi="宋体"/>
          <w:sz w:val="24"/>
          <w:szCs w:val="24"/>
        </w:rPr>
        <w:t>证券、</w:t>
      </w:r>
      <w:r>
        <w:rPr>
          <w:rFonts w:hint="eastAsia" w:ascii="宋体" w:hAnsi="宋体"/>
          <w:sz w:val="24"/>
          <w:szCs w:val="24"/>
          <w:lang w:val="en-US" w:eastAsia="zh-CN"/>
        </w:rPr>
        <w:t>基金金融</w:t>
      </w:r>
      <w:r>
        <w:rPr>
          <w:rFonts w:hint="eastAsia" w:ascii="宋体" w:hAnsi="宋体"/>
          <w:sz w:val="24"/>
          <w:szCs w:val="24"/>
        </w:rPr>
        <w:t>行业为主</w:t>
      </w:r>
      <w:r>
        <w:rPr>
          <w:rFonts w:hint="eastAsia" w:ascii="宋体" w:hAnsi="宋体"/>
          <w:color w:val="0D0D0D"/>
          <w:sz w:val="24"/>
          <w:szCs w:val="24"/>
        </w:rPr>
        <w:t>）</w:t>
      </w:r>
    </w:p>
    <w:p w14:paraId="58D8E519">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投标人认为需要提供的其他资质证明材料</w:t>
      </w:r>
    </w:p>
    <w:p w14:paraId="2471FC6D">
      <w:pPr>
        <w:numPr>
          <w:ilvl w:val="0"/>
          <w:numId w:val="5"/>
        </w:numPr>
        <w:spacing w:before="0" w:after="0"/>
        <w:ind w:firstLine="480" w:firstLineChars="200"/>
        <w:rPr>
          <w:rFonts w:hint="eastAsia" w:ascii="宋体"/>
          <w:b w:val="0"/>
          <w:color w:val="auto"/>
          <w:sz w:val="24"/>
          <w:szCs w:val="21"/>
        </w:rPr>
      </w:pPr>
      <w:r>
        <w:rPr>
          <w:rFonts w:hint="eastAsia" w:ascii="宋体"/>
          <w:b w:val="0"/>
          <w:color w:val="auto"/>
          <w:sz w:val="24"/>
          <w:szCs w:val="21"/>
        </w:rPr>
        <w:t>技术文件应包括：</w:t>
      </w:r>
    </w:p>
    <w:p w14:paraId="43EDADF3">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项目整体建设方案</w:t>
      </w:r>
    </w:p>
    <w:p w14:paraId="103720A4">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项目实施计划</w:t>
      </w:r>
    </w:p>
    <w:p w14:paraId="2DEBF37E">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报价设备的详细技术规格说明</w:t>
      </w:r>
    </w:p>
    <w:p w14:paraId="4FE9004A">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报价软件的详细功能说明</w:t>
      </w:r>
    </w:p>
    <w:p w14:paraId="38BCF6B8">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售后服务承诺</w:t>
      </w:r>
    </w:p>
    <w:p w14:paraId="4451B088">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投标人认为需要提交的其他技术文档</w:t>
      </w:r>
    </w:p>
    <w:p w14:paraId="421F0D6E">
      <w:pPr>
        <w:numPr>
          <w:ilvl w:val="0"/>
          <w:numId w:val="5"/>
        </w:numPr>
        <w:spacing w:before="0" w:after="0"/>
        <w:ind w:firstLine="480" w:firstLineChars="200"/>
        <w:jc w:val="left"/>
        <w:rPr>
          <w:rFonts w:hint="eastAsia" w:ascii="宋体"/>
          <w:color w:val="auto"/>
          <w:kern w:val="0"/>
          <w:sz w:val="24"/>
          <w:szCs w:val="21"/>
        </w:rPr>
      </w:pPr>
      <w:r>
        <w:rPr>
          <w:rFonts w:hint="eastAsia" w:ascii="宋体"/>
          <w:b w:val="0"/>
          <w:color w:val="auto"/>
          <w:kern w:val="0"/>
          <w:sz w:val="24"/>
          <w:szCs w:val="21"/>
        </w:rPr>
        <w:t>投标文件的详细说明：</w:t>
      </w:r>
      <w:r>
        <w:rPr>
          <w:rFonts w:hint="eastAsia" w:ascii="宋体"/>
          <w:color w:val="auto"/>
          <w:kern w:val="0"/>
          <w:sz w:val="24"/>
          <w:szCs w:val="21"/>
        </w:rPr>
        <w:t>投标单位对项目的技术支持、技术培训、质量保障措施、售前售后等服务项目给予招标方提供的优惠条件，应在投标文件中予以说明。</w:t>
      </w:r>
    </w:p>
    <w:p w14:paraId="59B09D0A">
      <w:pPr>
        <w:numPr>
          <w:ilvl w:val="0"/>
          <w:numId w:val="5"/>
        </w:numPr>
        <w:spacing w:before="0" w:after="0"/>
        <w:ind w:firstLine="480" w:firstLineChars="200"/>
        <w:jc w:val="left"/>
        <w:rPr>
          <w:rFonts w:hint="eastAsia" w:ascii="宋体" w:hAnsi="Times New Roman"/>
          <w:color w:val="auto"/>
          <w:kern w:val="0"/>
          <w:sz w:val="24"/>
          <w:szCs w:val="21"/>
        </w:rPr>
      </w:pPr>
      <w:r>
        <w:rPr>
          <w:rFonts w:hint="eastAsia" w:ascii="宋体" w:hAnsi="Times New Roman"/>
          <w:b w:val="0"/>
          <w:color w:val="auto"/>
          <w:kern w:val="0"/>
          <w:sz w:val="24"/>
          <w:szCs w:val="21"/>
        </w:rPr>
        <w:t>投标报价：</w:t>
      </w:r>
      <w:r>
        <w:rPr>
          <w:rFonts w:hint="eastAsia" w:ascii="宋体" w:hAnsi="Times New Roman"/>
          <w:color w:val="auto"/>
          <w:kern w:val="0"/>
          <w:sz w:val="24"/>
          <w:szCs w:val="21"/>
        </w:rPr>
        <w:t>投标报价必须明确，不接受选择性报价。投标人提供选择性报价或者具有附加条件的报价，其投标将被拒绝。</w:t>
      </w:r>
    </w:p>
    <w:p w14:paraId="5B39D867">
      <w:pPr>
        <w:numPr>
          <w:ilvl w:val="0"/>
          <w:numId w:val="5"/>
        </w:numPr>
        <w:spacing w:before="0" w:after="0"/>
        <w:ind w:firstLine="480" w:firstLineChars="200"/>
        <w:rPr>
          <w:rFonts w:hint="eastAsia" w:ascii="宋体" w:hAnsi="Times New Roman"/>
          <w:color w:val="auto"/>
          <w:kern w:val="0"/>
          <w:sz w:val="24"/>
          <w:szCs w:val="21"/>
        </w:rPr>
      </w:pPr>
      <w:r>
        <w:rPr>
          <w:rFonts w:hint="eastAsia" w:ascii="宋体"/>
          <w:b w:val="0"/>
          <w:color w:val="auto"/>
          <w:sz w:val="24"/>
          <w:szCs w:val="21"/>
        </w:rPr>
        <w:t>投标文件的有效期：</w:t>
      </w:r>
      <w:r>
        <w:rPr>
          <w:rFonts w:hint="eastAsia" w:ascii="宋体" w:hAnsi="Times New Roman"/>
          <w:color w:val="auto"/>
          <w:kern w:val="0"/>
          <w:sz w:val="24"/>
          <w:szCs w:val="21"/>
        </w:rPr>
        <w:t>自开标日起60个自然日内，投标文件应保持有效。有效期短于这个规定期限的投标，将被拒绝。在特殊情况下，招标方可与投标人协商延长投标文件的有效期。这种要求和答复都应以书面、传真的形式进行。同意延长有效期的投标人不能修改投标文件。投标人若不同意延长投标有效期，则应以书面的形式给予明确答复，此时投标人被视为自动退出投标。</w:t>
      </w:r>
    </w:p>
    <w:p w14:paraId="0DC88CC2">
      <w:pPr>
        <w:pStyle w:val="3"/>
      </w:pPr>
      <w:bookmarkStart w:id="55" w:name="_Toc57518135"/>
      <w:bookmarkStart w:id="56" w:name="_Toc212001936"/>
      <w:bookmarkStart w:id="57" w:name="_Toc509025045"/>
      <w:bookmarkStart w:id="58" w:name="_Toc23479974"/>
      <w:bookmarkStart w:id="59" w:name="_Toc509024846"/>
      <w:bookmarkStart w:id="60" w:name="_Toc57518380"/>
      <w:bookmarkStart w:id="61" w:name="_Toc57518323"/>
      <w:bookmarkStart w:id="62" w:name="_Toc57478036"/>
      <w:bookmarkStart w:id="63" w:name="_Toc523196820"/>
      <w:bookmarkStart w:id="64" w:name="_Toc184805391"/>
      <w:bookmarkStart w:id="65" w:name="_Toc20520"/>
      <w:r>
        <w:rPr>
          <w:rFonts w:hint="eastAsia"/>
        </w:rPr>
        <w:t>4</w:t>
      </w:r>
      <w:r>
        <w:t>.</w:t>
      </w:r>
      <w:r>
        <w:rPr>
          <w:rFonts w:hint="eastAsia"/>
        </w:rPr>
        <w:t xml:space="preserve"> 投标文件的递交</w:t>
      </w:r>
      <w:bookmarkEnd w:id="55"/>
      <w:bookmarkEnd w:id="56"/>
      <w:bookmarkEnd w:id="57"/>
      <w:bookmarkEnd w:id="58"/>
      <w:bookmarkEnd w:id="59"/>
      <w:bookmarkEnd w:id="60"/>
      <w:bookmarkEnd w:id="61"/>
      <w:bookmarkEnd w:id="62"/>
      <w:bookmarkEnd w:id="63"/>
      <w:bookmarkEnd w:id="64"/>
      <w:bookmarkEnd w:id="65"/>
    </w:p>
    <w:p w14:paraId="61CCAE77">
      <w:pPr>
        <w:spacing w:before="0" w:after="0"/>
        <w:ind w:firstLine="480" w:firstLineChars="200"/>
        <w:rPr>
          <w:rFonts w:ascii="宋体"/>
          <w:sz w:val="24"/>
        </w:rPr>
      </w:pPr>
      <w:r>
        <w:rPr>
          <w:rFonts w:hint="eastAsia" w:ascii="宋体"/>
          <w:sz w:val="24"/>
        </w:rPr>
        <w:t>投标人应</w:t>
      </w:r>
      <w:r>
        <w:rPr>
          <w:rFonts w:hint="eastAsia" w:ascii="宋体"/>
          <w:sz w:val="24"/>
          <w:lang w:val="en-US" w:eastAsia="zh-CN"/>
        </w:rPr>
        <w:t>将</w:t>
      </w:r>
      <w:r>
        <w:rPr>
          <w:rFonts w:hint="eastAsia" w:ascii="宋体"/>
          <w:sz w:val="24"/>
        </w:rPr>
        <w:t>投标文件密封</w:t>
      </w:r>
      <w:r>
        <w:rPr>
          <w:rFonts w:hint="eastAsia" w:ascii="宋体"/>
          <w:sz w:val="24"/>
          <w:lang w:val="en-US" w:eastAsia="zh-CN"/>
        </w:rPr>
        <w:t>后</w:t>
      </w:r>
      <w:r>
        <w:rPr>
          <w:rFonts w:hint="eastAsia" w:ascii="宋体"/>
          <w:sz w:val="24"/>
        </w:rPr>
        <w:t>装</w:t>
      </w:r>
      <w:r>
        <w:rPr>
          <w:rFonts w:hint="eastAsia" w:ascii="宋体"/>
          <w:sz w:val="24"/>
          <w:lang w:val="en-US" w:eastAsia="zh-CN"/>
        </w:rPr>
        <w:t>如一个或多个</w:t>
      </w:r>
      <w:r>
        <w:rPr>
          <w:rFonts w:hint="eastAsia" w:ascii="宋体"/>
          <w:sz w:val="24"/>
        </w:rPr>
        <w:t>密封袋中</w:t>
      </w:r>
      <w:r>
        <w:rPr>
          <w:rFonts w:hint="eastAsia" w:ascii="宋体"/>
          <w:sz w:val="24"/>
          <w:lang w:eastAsia="zh-CN"/>
        </w:rPr>
        <w:t>，</w:t>
      </w:r>
      <w:r>
        <w:rPr>
          <w:rFonts w:hint="eastAsia" w:ascii="宋体"/>
          <w:sz w:val="24"/>
          <w:lang w:val="en-US" w:eastAsia="zh-CN"/>
        </w:rPr>
        <w:t>所有</w:t>
      </w:r>
      <w:r>
        <w:rPr>
          <w:rFonts w:hint="eastAsia" w:ascii="宋体"/>
          <w:sz w:val="24"/>
        </w:rPr>
        <w:t>密封袋</w:t>
      </w:r>
      <w:r>
        <w:rPr>
          <w:rFonts w:hint="eastAsia" w:ascii="宋体"/>
          <w:sz w:val="24"/>
          <w:lang w:val="en-US" w:eastAsia="zh-CN"/>
        </w:rPr>
        <w:t>表面都必须</w:t>
      </w:r>
      <w:r>
        <w:rPr>
          <w:rFonts w:hint="eastAsia" w:ascii="宋体"/>
          <w:sz w:val="24"/>
        </w:rPr>
        <w:t>清楚注明</w:t>
      </w:r>
      <w:r>
        <w:rPr>
          <w:rFonts w:hint="eastAsia" w:ascii="宋体"/>
          <w:sz w:val="24"/>
          <w:lang w:val="en-US" w:eastAsia="zh-CN"/>
        </w:rPr>
        <w:t>以下信息</w:t>
      </w:r>
      <w:r>
        <w:rPr>
          <w:rFonts w:hint="eastAsia" w:ascii="宋体"/>
          <w:sz w:val="24"/>
        </w:rPr>
        <w:t>：项目编号、项目名称、投标人名称、联系方式及“开标时间前不得启封”字样。</w:t>
      </w:r>
      <w:r>
        <w:rPr>
          <w:rFonts w:hint="eastAsia" w:ascii="宋体"/>
          <w:sz w:val="24"/>
          <w:lang w:val="en-US" w:eastAsia="zh-CN"/>
        </w:rPr>
        <w:t>所有</w:t>
      </w:r>
      <w:r>
        <w:rPr>
          <w:rFonts w:hint="eastAsia" w:ascii="宋体"/>
          <w:sz w:val="24"/>
        </w:rPr>
        <w:t>密封袋封口处</w:t>
      </w:r>
      <w:r>
        <w:rPr>
          <w:rFonts w:hint="eastAsia" w:ascii="宋体"/>
          <w:sz w:val="24"/>
          <w:lang w:eastAsia="zh-CN"/>
        </w:rPr>
        <w:t>，</w:t>
      </w:r>
      <w:r>
        <w:rPr>
          <w:rFonts w:hint="eastAsia" w:ascii="宋体"/>
          <w:sz w:val="24"/>
          <w:lang w:val="en-US" w:eastAsia="zh-CN"/>
        </w:rPr>
        <w:t>都必须</w:t>
      </w:r>
      <w:r>
        <w:rPr>
          <w:rFonts w:hint="eastAsia" w:ascii="宋体"/>
          <w:sz w:val="24"/>
        </w:rPr>
        <w:t>有授权代表的签字</w:t>
      </w:r>
      <w:r>
        <w:rPr>
          <w:rFonts w:hint="eastAsia" w:ascii="宋体"/>
          <w:sz w:val="24"/>
          <w:lang w:eastAsia="zh-CN"/>
        </w:rPr>
        <w:t>，</w:t>
      </w:r>
      <w:r>
        <w:rPr>
          <w:rFonts w:hint="eastAsia" w:ascii="宋体"/>
          <w:sz w:val="24"/>
          <w:lang w:val="en-US" w:eastAsia="zh-CN"/>
        </w:rPr>
        <w:t>并加盖</w:t>
      </w:r>
      <w:r>
        <w:rPr>
          <w:rFonts w:hint="eastAsia" w:ascii="宋体"/>
          <w:sz w:val="24"/>
        </w:rPr>
        <w:t>投标人公章。</w:t>
      </w:r>
    </w:p>
    <w:p w14:paraId="044DE9B8">
      <w:pPr>
        <w:spacing w:before="0" w:after="0"/>
        <w:ind w:firstLine="480" w:firstLineChars="200"/>
        <w:rPr>
          <w:rFonts w:ascii="宋体"/>
          <w:sz w:val="24"/>
        </w:rPr>
      </w:pPr>
      <w:r>
        <w:rPr>
          <w:rFonts w:hint="eastAsia" w:ascii="宋体"/>
          <w:sz w:val="24"/>
        </w:rPr>
        <w:t>投标人必须在投标截止时间前，将投标文件送达指定地点。投标人送</w:t>
      </w:r>
      <w:r>
        <w:rPr>
          <w:rFonts w:hint="eastAsia" w:ascii="宋体"/>
          <w:sz w:val="24"/>
          <w:lang w:val="en-US" w:eastAsia="zh-CN"/>
        </w:rPr>
        <w:t>交</w:t>
      </w:r>
      <w:r>
        <w:rPr>
          <w:rFonts w:hint="eastAsia" w:ascii="宋体"/>
          <w:sz w:val="24"/>
        </w:rPr>
        <w:t>投标文件后，如</w:t>
      </w:r>
      <w:r>
        <w:rPr>
          <w:rFonts w:hint="eastAsia" w:ascii="宋体"/>
          <w:sz w:val="24"/>
          <w:lang w:val="en-US" w:eastAsia="zh-CN"/>
        </w:rPr>
        <w:t>需修改</w:t>
      </w:r>
      <w:r>
        <w:rPr>
          <w:rFonts w:hint="eastAsia" w:ascii="宋体"/>
          <w:sz w:val="24"/>
        </w:rPr>
        <w:t>投标文件，必须在投标截止时间前</w:t>
      </w:r>
      <w:r>
        <w:rPr>
          <w:rFonts w:hint="eastAsia" w:ascii="宋体"/>
          <w:sz w:val="24"/>
          <w:lang w:eastAsia="zh-CN"/>
        </w:rPr>
        <w:t>，</w:t>
      </w:r>
      <w:r>
        <w:rPr>
          <w:rFonts w:hint="eastAsia" w:ascii="宋体"/>
          <w:sz w:val="24"/>
        </w:rPr>
        <w:t>以书面形式对已递交的投标文件进行补充或修改。该书面材料应密封，并由</w:t>
      </w:r>
      <w:r>
        <w:rPr>
          <w:rFonts w:hint="eastAsia" w:ascii="宋体"/>
          <w:sz w:val="24"/>
          <w:lang w:val="en-US" w:eastAsia="zh-CN"/>
        </w:rPr>
        <w:t>原</w:t>
      </w:r>
      <w:r>
        <w:rPr>
          <w:rFonts w:hint="eastAsia" w:ascii="宋体"/>
          <w:sz w:val="24"/>
        </w:rPr>
        <w:t>签署人签字盖章后</w:t>
      </w:r>
      <w:r>
        <w:rPr>
          <w:rFonts w:hint="eastAsia" w:ascii="宋体"/>
          <w:sz w:val="24"/>
          <w:lang w:eastAsia="zh-CN"/>
        </w:rPr>
        <w:t>，</w:t>
      </w:r>
      <w:r>
        <w:rPr>
          <w:rFonts w:hint="eastAsia" w:ascii="宋体"/>
          <w:sz w:val="24"/>
        </w:rPr>
        <w:t>在投标截止时间前送交指定地点</w:t>
      </w:r>
      <w:r>
        <w:rPr>
          <w:rFonts w:hint="eastAsia" w:ascii="宋体"/>
          <w:sz w:val="24"/>
          <w:lang w:eastAsia="zh-CN"/>
        </w:rPr>
        <w:t>，</w:t>
      </w:r>
      <w:r>
        <w:rPr>
          <w:rFonts w:hint="eastAsia" w:ascii="宋体"/>
          <w:sz w:val="24"/>
        </w:rPr>
        <w:t>同时</w:t>
      </w:r>
      <w:r>
        <w:rPr>
          <w:rFonts w:hint="eastAsia" w:ascii="宋体"/>
          <w:sz w:val="24"/>
          <w:lang w:val="en-US" w:eastAsia="zh-CN"/>
        </w:rPr>
        <w:t>需要</w:t>
      </w:r>
      <w:r>
        <w:rPr>
          <w:rFonts w:hint="eastAsia" w:ascii="宋体"/>
          <w:sz w:val="24"/>
        </w:rPr>
        <w:t>在信封上标明“修改投标文件”字样。补充或修改的内容</w:t>
      </w:r>
      <w:r>
        <w:rPr>
          <w:rFonts w:hint="eastAsia" w:ascii="宋体"/>
          <w:sz w:val="24"/>
          <w:lang w:val="en-US" w:eastAsia="zh-CN"/>
        </w:rPr>
        <w:t>属于</w:t>
      </w:r>
      <w:r>
        <w:rPr>
          <w:rFonts w:hint="eastAsia" w:ascii="宋体"/>
          <w:sz w:val="24"/>
        </w:rPr>
        <w:t>投标文件的组成部分。投标人可以在投标截止时间前撤回投标文件，并以书面形式通知招标人，但不得在投标截止日期后至投标有效期满前撤回投标文件。</w:t>
      </w:r>
    </w:p>
    <w:p w14:paraId="3C0BED31">
      <w:pPr>
        <w:spacing w:before="0" w:after="0"/>
        <w:ind w:firstLine="480" w:firstLineChars="200"/>
        <w:rPr>
          <w:rFonts w:ascii="宋体"/>
          <w:sz w:val="24"/>
        </w:rPr>
      </w:pPr>
      <w:bookmarkStart w:id="66" w:name="_Toc57518324"/>
      <w:bookmarkStart w:id="67" w:name="_Toc509024847"/>
      <w:bookmarkStart w:id="68" w:name="_Toc57518381"/>
      <w:bookmarkStart w:id="69" w:name="_Toc23479975"/>
      <w:bookmarkStart w:id="70" w:name="_Toc523196821"/>
      <w:bookmarkStart w:id="71" w:name="_Toc509025046"/>
      <w:bookmarkStart w:id="72" w:name="_Toc57518136"/>
      <w:bookmarkStart w:id="73" w:name="_Toc57478037"/>
      <w:bookmarkStart w:id="74" w:name="_Toc212001937"/>
      <w:r>
        <w:rPr>
          <w:rFonts w:hint="eastAsia" w:ascii="宋体"/>
          <w:sz w:val="24"/>
          <w:lang w:val="en-US" w:eastAsia="zh-CN"/>
        </w:rPr>
        <w:t>出现</w:t>
      </w:r>
      <w:r>
        <w:rPr>
          <w:rFonts w:hint="eastAsia" w:ascii="宋体"/>
          <w:sz w:val="24"/>
        </w:rPr>
        <w:t>下列情</w:t>
      </w:r>
      <w:r>
        <w:rPr>
          <w:rFonts w:hint="eastAsia" w:ascii="宋体"/>
          <w:sz w:val="24"/>
          <w:lang w:val="en-US" w:eastAsia="zh-CN"/>
        </w:rPr>
        <w:t>情形之一</w:t>
      </w:r>
      <w:r>
        <w:rPr>
          <w:rFonts w:hint="eastAsia" w:ascii="宋体"/>
          <w:sz w:val="24"/>
        </w:rPr>
        <w:t>的，投标文件无效</w:t>
      </w:r>
      <w:r>
        <w:rPr>
          <w:rFonts w:hint="eastAsia" w:ascii="宋体"/>
          <w:sz w:val="24"/>
          <w:lang w:eastAsia="zh-CN"/>
        </w:rPr>
        <w:t>，</w:t>
      </w:r>
      <w:r>
        <w:rPr>
          <w:rFonts w:hint="eastAsia" w:ascii="宋体"/>
          <w:sz w:val="24"/>
          <w:lang w:val="en-US" w:eastAsia="zh-CN"/>
        </w:rPr>
        <w:t>即按废标处理</w:t>
      </w:r>
      <w:r>
        <w:rPr>
          <w:rFonts w:hint="eastAsia" w:ascii="宋体"/>
          <w:sz w:val="24"/>
        </w:rPr>
        <w:t>：</w:t>
      </w:r>
    </w:p>
    <w:p w14:paraId="3097573B">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投标文件未按规定密封或投标文件提前拆封；</w:t>
      </w:r>
    </w:p>
    <w:p w14:paraId="38FA3186">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投标文件未加盖单位公章或无法定代表人签章；</w:t>
      </w:r>
    </w:p>
    <w:p w14:paraId="714AB945">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投标书未按招标文件规定要求和格式编制填写，或内容不全、字迹模糊难以辨认的；</w:t>
      </w:r>
    </w:p>
    <w:p w14:paraId="5AB272DE">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投标书逾期送达或未送达指定地点；</w:t>
      </w:r>
    </w:p>
    <w:p w14:paraId="0AED9095">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评标过程中，投标方有企图影响、干涉评标过程或结果的行为。</w:t>
      </w:r>
    </w:p>
    <w:p w14:paraId="5EAB63F0">
      <w:pPr>
        <w:pStyle w:val="3"/>
      </w:pPr>
      <w:bookmarkStart w:id="75" w:name="_Toc11198"/>
      <w:bookmarkStart w:id="76" w:name="_Toc184805392"/>
      <w:r>
        <w:rPr>
          <w:rFonts w:hint="eastAsia"/>
        </w:rPr>
        <w:t>5</w:t>
      </w:r>
      <w:r>
        <w:t>.</w:t>
      </w:r>
      <w:r>
        <w:rPr>
          <w:rFonts w:hint="eastAsia"/>
        </w:rPr>
        <w:t xml:space="preserve"> </w:t>
      </w:r>
      <w:bookmarkEnd w:id="66"/>
      <w:bookmarkEnd w:id="67"/>
      <w:bookmarkEnd w:id="68"/>
      <w:bookmarkEnd w:id="69"/>
      <w:bookmarkEnd w:id="70"/>
      <w:bookmarkEnd w:id="71"/>
      <w:bookmarkEnd w:id="72"/>
      <w:bookmarkEnd w:id="73"/>
      <w:bookmarkEnd w:id="74"/>
      <w:r>
        <w:rPr>
          <w:rFonts w:hint="eastAsia"/>
          <w:color w:val="auto"/>
        </w:rPr>
        <w:t>开标</w:t>
      </w:r>
      <w:bookmarkEnd w:id="75"/>
      <w:bookmarkEnd w:id="76"/>
    </w:p>
    <w:p w14:paraId="7025E399">
      <w:pPr>
        <w:spacing w:before="0" w:after="0"/>
        <w:ind w:firstLine="480" w:firstLineChars="200"/>
        <w:rPr>
          <w:rFonts w:ascii="宋体"/>
          <w:sz w:val="24"/>
        </w:rPr>
      </w:pPr>
      <w:bookmarkStart w:id="77" w:name="_Toc57518137"/>
      <w:bookmarkStart w:id="78" w:name="_Toc523196822"/>
      <w:bookmarkStart w:id="79" w:name="_Toc23479976"/>
      <w:bookmarkStart w:id="80" w:name="_Toc212001938"/>
      <w:bookmarkStart w:id="81" w:name="_Toc57518325"/>
      <w:bookmarkStart w:id="82" w:name="_Toc57478038"/>
      <w:bookmarkStart w:id="83" w:name="_Toc509025047"/>
      <w:bookmarkStart w:id="84" w:name="_Toc509024848"/>
      <w:bookmarkStart w:id="85" w:name="_Toc57518382"/>
      <w:r>
        <w:rPr>
          <w:rFonts w:hint="eastAsia" w:ascii="宋体"/>
          <w:sz w:val="24"/>
        </w:rPr>
        <w:t>投标人应派法定代表人或其授权代表出席开标仪式。</w:t>
      </w:r>
      <w:r>
        <w:rPr>
          <w:rFonts w:hint="eastAsia" w:ascii="宋体"/>
          <w:b/>
          <w:sz w:val="24"/>
          <w:lang w:val="en-US" w:eastAsia="zh-CN"/>
        </w:rPr>
        <w:t>并提前准备好</w:t>
      </w:r>
      <w:r>
        <w:rPr>
          <w:rFonts w:hint="eastAsia" w:ascii="宋体"/>
          <w:b/>
          <w:sz w:val="24"/>
        </w:rPr>
        <w:t>相关授权人的身份证明原件</w:t>
      </w:r>
      <w:r>
        <w:rPr>
          <w:rFonts w:hint="eastAsia" w:ascii="宋体"/>
          <w:b/>
          <w:sz w:val="24"/>
          <w:lang w:eastAsia="zh-CN"/>
        </w:rPr>
        <w:t>，</w:t>
      </w:r>
      <w:r>
        <w:rPr>
          <w:rFonts w:hint="eastAsia" w:ascii="宋体"/>
          <w:b/>
          <w:sz w:val="24"/>
          <w:lang w:val="en-US" w:eastAsia="zh-CN"/>
        </w:rPr>
        <w:t>供</w:t>
      </w:r>
      <w:r>
        <w:rPr>
          <w:rFonts w:hint="eastAsia" w:ascii="宋体"/>
          <w:b/>
          <w:sz w:val="24"/>
        </w:rPr>
        <w:t>开标过程中查验。</w:t>
      </w:r>
    </w:p>
    <w:p w14:paraId="7899569F">
      <w:pPr>
        <w:spacing w:before="0" w:after="0"/>
        <w:ind w:firstLine="480" w:firstLineChars="200"/>
        <w:rPr>
          <w:rFonts w:ascii="宋体"/>
          <w:sz w:val="24"/>
        </w:rPr>
      </w:pPr>
      <w:r>
        <w:rPr>
          <w:rFonts w:hint="eastAsia" w:ascii="宋体"/>
          <w:sz w:val="24"/>
        </w:rPr>
        <w:t>开标时，</w:t>
      </w:r>
      <w:r>
        <w:rPr>
          <w:rFonts w:hint="eastAsia" w:ascii="宋体"/>
          <w:sz w:val="24"/>
          <w:lang w:val="en-US" w:eastAsia="zh-CN"/>
        </w:rPr>
        <w:t>首先</w:t>
      </w:r>
      <w:r>
        <w:rPr>
          <w:rFonts w:hint="eastAsia" w:ascii="宋体"/>
          <w:sz w:val="24"/>
        </w:rPr>
        <w:t>查验投标文件密封情况，确认无误后拆</w:t>
      </w:r>
      <w:r>
        <w:rPr>
          <w:rFonts w:hint="eastAsia" w:ascii="宋体"/>
          <w:sz w:val="24"/>
          <w:lang w:val="en-US" w:eastAsia="zh-CN"/>
        </w:rPr>
        <w:t>唱标</w:t>
      </w:r>
      <w:r>
        <w:rPr>
          <w:rFonts w:hint="eastAsia" w:ascii="宋体"/>
          <w:sz w:val="24"/>
        </w:rPr>
        <w:t>，宣读投标人名称、投标价格</w:t>
      </w:r>
      <w:r>
        <w:rPr>
          <w:rFonts w:hint="eastAsia" w:ascii="宋体"/>
          <w:sz w:val="24"/>
          <w:lang w:val="en-US" w:eastAsia="zh-CN"/>
        </w:rPr>
        <w:t>及</w:t>
      </w:r>
      <w:r>
        <w:rPr>
          <w:rFonts w:hint="eastAsia" w:ascii="宋体"/>
          <w:sz w:val="24"/>
        </w:rPr>
        <w:t>投标文件的其他主要内容，</w:t>
      </w:r>
      <w:r>
        <w:rPr>
          <w:rFonts w:hint="eastAsia" w:ascii="宋体"/>
          <w:sz w:val="24"/>
          <w:lang w:val="en-US" w:eastAsia="zh-CN"/>
        </w:rPr>
        <w:t>再</w:t>
      </w:r>
      <w:r>
        <w:rPr>
          <w:rFonts w:hint="eastAsia" w:ascii="宋体"/>
          <w:sz w:val="24"/>
        </w:rPr>
        <w:t>根据招标</w:t>
      </w:r>
      <w:r>
        <w:rPr>
          <w:rFonts w:hint="eastAsia" w:ascii="宋体"/>
          <w:sz w:val="24"/>
          <w:lang w:val="en-US" w:eastAsia="zh-CN"/>
        </w:rPr>
        <w:t>要求</w:t>
      </w:r>
      <w:r>
        <w:rPr>
          <w:rFonts w:hint="eastAsia" w:ascii="宋体"/>
          <w:sz w:val="24"/>
        </w:rPr>
        <w:t>填写开标汇总表，并由评审小组领导成员签字。</w:t>
      </w:r>
      <w:r>
        <w:rPr>
          <w:rFonts w:hint="eastAsia" w:ascii="宋体"/>
          <w:sz w:val="24"/>
          <w:lang w:val="en-US" w:eastAsia="zh-CN"/>
        </w:rPr>
        <w:t>整个</w:t>
      </w:r>
      <w:r>
        <w:rPr>
          <w:rFonts w:hint="eastAsia" w:ascii="宋体"/>
          <w:sz w:val="24"/>
        </w:rPr>
        <w:t>开标过程将记录并存档备查。</w:t>
      </w:r>
    </w:p>
    <w:p w14:paraId="2D9CFD49">
      <w:pPr>
        <w:spacing w:before="0" w:after="0"/>
        <w:ind w:firstLine="480" w:firstLineChars="200"/>
        <w:rPr>
          <w:rFonts w:ascii="宋体"/>
          <w:sz w:val="24"/>
        </w:rPr>
      </w:pPr>
      <w:r>
        <w:rPr>
          <w:rFonts w:hint="eastAsia" w:ascii="宋体"/>
          <w:sz w:val="24"/>
        </w:rPr>
        <w:t>招标人在开标</w:t>
      </w:r>
      <w:r>
        <w:rPr>
          <w:rFonts w:hint="eastAsia" w:ascii="宋体"/>
          <w:sz w:val="24"/>
          <w:lang w:val="en-US" w:eastAsia="zh-CN"/>
        </w:rPr>
        <w:t>结束</w:t>
      </w:r>
      <w:r>
        <w:rPr>
          <w:rFonts w:hint="eastAsia" w:ascii="宋体"/>
          <w:sz w:val="24"/>
        </w:rPr>
        <w:t>后</w:t>
      </w:r>
      <w:r>
        <w:rPr>
          <w:rFonts w:hint="eastAsia" w:ascii="宋体"/>
          <w:sz w:val="24"/>
          <w:lang w:eastAsia="zh-CN"/>
        </w:rPr>
        <w:t>，</w:t>
      </w:r>
      <w:r>
        <w:rPr>
          <w:rFonts w:hint="eastAsia" w:ascii="宋体"/>
          <w:sz w:val="24"/>
        </w:rPr>
        <w:t>有权随时要求投标人</w:t>
      </w:r>
      <w:r>
        <w:rPr>
          <w:rFonts w:hint="eastAsia" w:ascii="宋体"/>
          <w:sz w:val="24"/>
          <w:lang w:val="en-US" w:eastAsia="zh-CN"/>
        </w:rPr>
        <w:t>就</w:t>
      </w:r>
      <w:r>
        <w:rPr>
          <w:rFonts w:hint="eastAsia" w:ascii="宋体"/>
          <w:sz w:val="24"/>
        </w:rPr>
        <w:t>投标书</w:t>
      </w:r>
      <w:r>
        <w:rPr>
          <w:rFonts w:hint="eastAsia" w:ascii="宋体"/>
          <w:sz w:val="24"/>
          <w:lang w:val="en-US" w:eastAsia="zh-CN"/>
        </w:rPr>
        <w:t>内容</w:t>
      </w:r>
      <w:r>
        <w:rPr>
          <w:rFonts w:hint="eastAsia" w:ascii="宋体"/>
          <w:sz w:val="24"/>
        </w:rPr>
        <w:t>进行澄清、说明或补正。</w:t>
      </w:r>
      <w:r>
        <w:rPr>
          <w:rFonts w:hint="eastAsia" w:ascii="宋体"/>
          <w:sz w:val="24"/>
          <w:lang w:val="en-US" w:eastAsia="zh-CN"/>
        </w:rPr>
        <w:t>相关</w:t>
      </w:r>
      <w:r>
        <w:rPr>
          <w:rFonts w:hint="eastAsia" w:ascii="宋体"/>
          <w:sz w:val="24"/>
        </w:rPr>
        <w:t>澄清的要求和答复应以书面形式提交</w:t>
      </w:r>
      <w:r>
        <w:rPr>
          <w:rFonts w:hint="eastAsia" w:ascii="宋体"/>
          <w:sz w:val="24"/>
          <w:lang w:eastAsia="zh-CN"/>
        </w:rPr>
        <w:t>，</w:t>
      </w:r>
      <w:r>
        <w:rPr>
          <w:rFonts w:hint="eastAsia" w:ascii="宋体"/>
          <w:sz w:val="24"/>
          <w:lang w:val="en-US" w:eastAsia="zh-CN"/>
        </w:rPr>
        <w:t>需由</w:t>
      </w:r>
      <w:r>
        <w:rPr>
          <w:rFonts w:hint="eastAsia" w:ascii="宋体"/>
          <w:sz w:val="24"/>
        </w:rPr>
        <w:t>投标人授权代表签字盖章</w:t>
      </w:r>
      <w:r>
        <w:rPr>
          <w:rFonts w:hint="eastAsia" w:ascii="宋体"/>
          <w:sz w:val="24"/>
          <w:lang w:val="en-US" w:eastAsia="zh-CN"/>
        </w:rPr>
        <w:t>并标注日期</w:t>
      </w:r>
      <w:r>
        <w:rPr>
          <w:rFonts w:hint="eastAsia" w:ascii="宋体"/>
          <w:sz w:val="24"/>
        </w:rPr>
        <w:t>，</w:t>
      </w:r>
      <w:r>
        <w:rPr>
          <w:rFonts w:hint="eastAsia" w:ascii="宋体"/>
          <w:sz w:val="24"/>
          <w:lang w:val="en-US" w:eastAsia="zh-CN"/>
        </w:rPr>
        <w:t>该文件将作为投标文件</w:t>
      </w:r>
      <w:r>
        <w:rPr>
          <w:rFonts w:hint="eastAsia" w:ascii="宋体"/>
          <w:sz w:val="24"/>
        </w:rPr>
        <w:t>的有效补充，但投标人的澄清不得</w:t>
      </w:r>
      <w:r>
        <w:rPr>
          <w:rFonts w:hint="eastAsia" w:ascii="宋体"/>
          <w:sz w:val="24"/>
          <w:lang w:val="en-US" w:eastAsia="zh-CN"/>
        </w:rPr>
        <w:t>更改</w:t>
      </w:r>
      <w:r>
        <w:rPr>
          <w:rFonts w:hint="eastAsia" w:ascii="宋体"/>
          <w:sz w:val="24"/>
        </w:rPr>
        <w:t>投标报价</w:t>
      </w:r>
      <w:r>
        <w:rPr>
          <w:rFonts w:hint="eastAsia" w:ascii="宋体"/>
          <w:sz w:val="24"/>
          <w:lang w:eastAsia="zh-CN"/>
        </w:rPr>
        <w:t>，</w:t>
      </w:r>
      <w:r>
        <w:rPr>
          <w:rFonts w:hint="eastAsia" w:ascii="宋体"/>
          <w:sz w:val="24"/>
          <w:lang w:val="en-US" w:eastAsia="zh-CN"/>
        </w:rPr>
        <w:t>也不得修改</w:t>
      </w:r>
      <w:r>
        <w:rPr>
          <w:rFonts w:hint="eastAsia" w:ascii="宋体"/>
          <w:sz w:val="24"/>
        </w:rPr>
        <w:t>原投标文件的实质性内容。</w:t>
      </w:r>
    </w:p>
    <w:p w14:paraId="7AADA62B">
      <w:pPr>
        <w:spacing w:before="0" w:after="0"/>
        <w:ind w:firstLine="480" w:firstLineChars="200"/>
        <w:rPr>
          <w:rFonts w:ascii="宋体"/>
          <w:sz w:val="24"/>
        </w:rPr>
      </w:pPr>
      <w:r>
        <w:rPr>
          <w:rFonts w:hint="eastAsia" w:ascii="宋体"/>
          <w:sz w:val="24"/>
        </w:rPr>
        <w:t>投标人对开标</w:t>
      </w:r>
      <w:r>
        <w:rPr>
          <w:rFonts w:hint="eastAsia" w:ascii="宋体"/>
          <w:sz w:val="24"/>
          <w:lang w:val="en-US" w:eastAsia="zh-CN"/>
        </w:rPr>
        <w:t>过程</w:t>
      </w:r>
      <w:r>
        <w:rPr>
          <w:rFonts w:hint="eastAsia" w:ascii="宋体"/>
          <w:sz w:val="24"/>
        </w:rPr>
        <w:t>有异议的，应当在开标现场提出，招标人</w:t>
      </w:r>
      <w:r>
        <w:rPr>
          <w:rFonts w:hint="eastAsia" w:ascii="宋体"/>
          <w:sz w:val="24"/>
          <w:lang w:val="en-US" w:eastAsia="zh-CN"/>
        </w:rPr>
        <w:t>将</w:t>
      </w:r>
      <w:r>
        <w:rPr>
          <w:rFonts w:hint="eastAsia" w:ascii="宋体"/>
          <w:sz w:val="24"/>
        </w:rPr>
        <w:t>当场做出答复，并</w:t>
      </w:r>
      <w:r>
        <w:rPr>
          <w:rFonts w:hint="eastAsia" w:ascii="宋体"/>
          <w:sz w:val="24"/>
          <w:lang w:val="en-US" w:eastAsia="zh-CN"/>
        </w:rPr>
        <w:t>制作</w:t>
      </w:r>
      <w:r>
        <w:rPr>
          <w:rFonts w:hint="eastAsia" w:ascii="宋体"/>
          <w:sz w:val="24"/>
        </w:rPr>
        <w:t>书面记录</w:t>
      </w:r>
      <w:r>
        <w:rPr>
          <w:rFonts w:hint="eastAsia" w:ascii="宋体"/>
          <w:sz w:val="24"/>
          <w:lang w:val="en-US" w:eastAsia="zh-CN"/>
        </w:rPr>
        <w:t>留存</w:t>
      </w:r>
      <w:r>
        <w:rPr>
          <w:rFonts w:hint="eastAsia" w:ascii="宋体"/>
          <w:sz w:val="24"/>
        </w:rPr>
        <w:t>。</w:t>
      </w:r>
    </w:p>
    <w:p w14:paraId="32DC7F81">
      <w:pPr>
        <w:pStyle w:val="3"/>
      </w:pPr>
      <w:bookmarkStart w:id="86" w:name="_Toc6555"/>
      <w:bookmarkStart w:id="87" w:name="_Toc184805393"/>
      <w:r>
        <w:rPr>
          <w:rFonts w:hint="eastAsia"/>
        </w:rPr>
        <w:t>6</w:t>
      </w:r>
      <w:r>
        <w:t>.</w:t>
      </w:r>
      <w:r>
        <w:rPr>
          <w:rFonts w:hint="eastAsia"/>
        </w:rPr>
        <w:t xml:space="preserve"> </w:t>
      </w:r>
      <w:bookmarkEnd w:id="77"/>
      <w:bookmarkEnd w:id="78"/>
      <w:bookmarkEnd w:id="79"/>
      <w:bookmarkEnd w:id="80"/>
      <w:bookmarkEnd w:id="81"/>
      <w:bookmarkEnd w:id="82"/>
      <w:bookmarkEnd w:id="83"/>
      <w:bookmarkEnd w:id="84"/>
      <w:bookmarkEnd w:id="85"/>
      <w:r>
        <w:rPr>
          <w:rFonts w:hint="eastAsia"/>
          <w:color w:val="auto"/>
        </w:rPr>
        <w:t>评标</w:t>
      </w:r>
      <w:bookmarkEnd w:id="86"/>
      <w:bookmarkEnd w:id="87"/>
    </w:p>
    <w:p w14:paraId="32C96384">
      <w:pPr>
        <w:spacing w:before="0" w:after="0"/>
        <w:ind w:firstLine="480"/>
        <w:rPr>
          <w:rFonts w:ascii="宋体"/>
          <w:kern w:val="2"/>
          <w:sz w:val="24"/>
          <w:szCs w:val="24"/>
        </w:rPr>
      </w:pPr>
      <w:r>
        <w:rPr>
          <w:rFonts w:hint="eastAsia" w:ascii="宋体"/>
          <w:b/>
          <w:kern w:val="2"/>
          <w:sz w:val="24"/>
          <w:szCs w:val="24"/>
        </w:rPr>
        <w:t>评标对象和组织：</w:t>
      </w:r>
      <w:r>
        <w:rPr>
          <w:rFonts w:hint="eastAsia" w:ascii="宋体"/>
          <w:kern w:val="2"/>
          <w:sz w:val="24"/>
          <w:szCs w:val="24"/>
        </w:rPr>
        <w:t>评标将根据招标文件及其有效的补充文件对投标人递交的投标文件及其有效的补充文件进行评价和比较。评标由招标人依据内部制度组建的评审小组负责。评审小组综合投标人各个方面的因素，现场进行表决。</w:t>
      </w:r>
    </w:p>
    <w:p w14:paraId="72FB9BF0">
      <w:pPr>
        <w:spacing w:before="0" w:after="0"/>
        <w:ind w:firstLine="480"/>
        <w:rPr>
          <w:rFonts w:ascii="宋体"/>
          <w:kern w:val="2"/>
          <w:sz w:val="24"/>
          <w:szCs w:val="24"/>
        </w:rPr>
      </w:pPr>
      <w:r>
        <w:rPr>
          <w:rFonts w:hint="eastAsia" w:ascii="宋体"/>
          <w:kern w:val="2"/>
          <w:sz w:val="24"/>
          <w:szCs w:val="24"/>
        </w:rPr>
        <w:t>评审小组将本着公开、公平、公正和诚信的原则进行评标。根据下述条件择优选择中标单位：</w:t>
      </w:r>
    </w:p>
    <w:p w14:paraId="399A2FFD">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投标书完整无缺，符合招标文件的格式、各项规定和要求。</w:t>
      </w:r>
    </w:p>
    <w:p w14:paraId="6B2FC2AB">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所建议的方案满足招标项目的总体需求，实施方案切实可行，有合理的资源投入，能确保项目的质量和期限要求。</w:t>
      </w:r>
    </w:p>
    <w:p w14:paraId="224BF815">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价格及支付方式合理。</w:t>
      </w:r>
    </w:p>
    <w:p w14:paraId="57790F13">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能提供优质的售前售后服务。</w:t>
      </w:r>
    </w:p>
    <w:p w14:paraId="5A4436C0">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能认真并投入足够的资源和能力履行合同义务。</w:t>
      </w:r>
    </w:p>
    <w:p w14:paraId="2C655A3C">
      <w:pPr>
        <w:spacing w:before="0" w:after="0"/>
        <w:ind w:firstLine="482" w:firstLineChars="200"/>
        <w:rPr>
          <w:rFonts w:ascii="宋体"/>
          <w:b/>
          <w:sz w:val="24"/>
        </w:rPr>
      </w:pPr>
      <w:r>
        <w:rPr>
          <w:rFonts w:hint="eastAsia" w:ascii="宋体"/>
          <w:b/>
          <w:sz w:val="24"/>
        </w:rPr>
        <w:t>初步评审</w:t>
      </w:r>
      <w:r>
        <w:rPr>
          <w:rFonts w:hint="eastAsia" w:ascii="宋体"/>
          <w:b/>
          <w:sz w:val="24"/>
          <w:lang w:eastAsia="zh-CN"/>
        </w:rPr>
        <w:t>（</w:t>
      </w:r>
      <w:r>
        <w:rPr>
          <w:rFonts w:hint="eastAsia" w:ascii="宋体"/>
          <w:b/>
          <w:sz w:val="24"/>
          <w:lang w:val="en-US" w:eastAsia="zh-CN"/>
        </w:rPr>
        <w:t>通用</w:t>
      </w:r>
      <w:r>
        <w:rPr>
          <w:rFonts w:hint="eastAsia" w:ascii="宋体"/>
          <w:b/>
          <w:sz w:val="24"/>
          <w:lang w:eastAsia="zh-CN"/>
        </w:rPr>
        <w:t>）</w:t>
      </w:r>
      <w:r>
        <w:rPr>
          <w:rFonts w:hint="eastAsia" w:ascii="宋体"/>
          <w:b/>
          <w:sz w:val="24"/>
        </w:rPr>
        <w:t>：</w:t>
      </w:r>
    </w:p>
    <w:p w14:paraId="47438657">
      <w:pPr>
        <w:numPr>
          <w:ilvl w:val="0"/>
          <w:numId w:val="9"/>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开标后，招标人将审查投标文件是否完整，是否有计算错误，投标文件签署是否符合要求，投标文件装订是否整齐有序并符合封装要求。</w:t>
      </w:r>
    </w:p>
    <w:p w14:paraId="04858995">
      <w:pPr>
        <w:numPr>
          <w:ilvl w:val="0"/>
          <w:numId w:val="9"/>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报价表中若有计算错误，按以下方法修正。如果大写和小写金额有差异，则以大写金额为准，对小写金额进行修正。如果单价与总价有差异，则以单价为准，对总价进行修正。如果数字和文字表示的金额有差异，则以文字表示的金额为准，对数字作相应的修正。若投标人不接受对其错误的更正，则其投标将被拒绝。当投标人的投标报价出现漏项、漏报时，投标报价被视为无效。</w:t>
      </w:r>
    </w:p>
    <w:p w14:paraId="11FBC1AB">
      <w:pPr>
        <w:numPr>
          <w:ilvl w:val="0"/>
          <w:numId w:val="9"/>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未响应招标文件实质性要求的投标文件将被视为无效投标。投标人不能通过修改或撤销其投标文件有关条款使其成为实质性响应的投标文件。</w:t>
      </w:r>
    </w:p>
    <w:p w14:paraId="00AF392F">
      <w:pPr>
        <w:spacing w:before="0" w:after="0"/>
        <w:ind w:firstLine="480"/>
        <w:rPr>
          <w:rFonts w:ascii="宋体"/>
          <w:b/>
          <w:sz w:val="24"/>
          <w:highlight w:val="yellow"/>
        </w:rPr>
      </w:pPr>
      <w:bookmarkStart w:id="88" w:name="_Toc57518383"/>
      <w:bookmarkStart w:id="89" w:name="_Toc57518138"/>
      <w:bookmarkStart w:id="90" w:name="_Toc57478039"/>
      <w:bookmarkStart w:id="91" w:name="_Toc23479977"/>
      <w:bookmarkStart w:id="92" w:name="_Toc212001939"/>
      <w:bookmarkStart w:id="93" w:name="_Toc509025048"/>
      <w:bookmarkStart w:id="94" w:name="_Toc523196823"/>
      <w:bookmarkStart w:id="95" w:name="_Toc509024849"/>
      <w:bookmarkStart w:id="96" w:name="_Toc57518326"/>
      <w:r>
        <w:rPr>
          <w:rFonts w:hint="eastAsia" w:ascii="宋体"/>
          <w:b/>
          <w:sz w:val="24"/>
          <w:highlight w:val="yellow"/>
        </w:rPr>
        <w:t>详细评审</w:t>
      </w:r>
      <w:r>
        <w:rPr>
          <w:rFonts w:hint="eastAsia" w:ascii="宋体"/>
          <w:b/>
          <w:sz w:val="24"/>
          <w:highlight w:val="yellow"/>
          <w:lang w:eastAsia="zh-CN"/>
        </w:rPr>
        <w:t>（</w:t>
      </w:r>
      <w:r>
        <w:rPr>
          <w:rFonts w:hint="eastAsia" w:ascii="宋体"/>
          <w:b/>
          <w:sz w:val="24"/>
          <w:highlight w:val="yellow"/>
          <w:lang w:val="en-US" w:eastAsia="zh-CN"/>
        </w:rPr>
        <w:t>最低价法</w:t>
      </w:r>
      <w:r>
        <w:rPr>
          <w:rFonts w:hint="eastAsia" w:ascii="宋体"/>
          <w:b/>
          <w:sz w:val="24"/>
          <w:highlight w:val="yellow"/>
          <w:lang w:eastAsia="zh-CN"/>
        </w:rPr>
        <w:t>）</w:t>
      </w:r>
      <w:r>
        <w:rPr>
          <w:rFonts w:hint="eastAsia" w:ascii="宋体"/>
          <w:b/>
          <w:sz w:val="24"/>
          <w:highlight w:val="yellow"/>
        </w:rPr>
        <w:t>：</w:t>
      </w:r>
    </w:p>
    <w:p w14:paraId="2E02EB08">
      <w:pPr>
        <w:numPr>
          <w:ilvl w:val="0"/>
          <w:numId w:val="10"/>
        </w:numPr>
        <w:spacing w:before="0" w:after="0"/>
        <w:ind w:firstLine="480" w:firstLineChars="200"/>
        <w:rPr>
          <w:rFonts w:hint="eastAsia" w:ascii="宋体"/>
          <w:color w:val="auto"/>
          <w:sz w:val="24"/>
        </w:rPr>
      </w:pPr>
      <w:r>
        <w:rPr>
          <w:rFonts w:hint="eastAsia" w:ascii="宋体"/>
          <w:color w:val="auto"/>
          <w:sz w:val="24"/>
          <w:lang w:val="en-US" w:eastAsia="zh-CN"/>
        </w:rPr>
        <w:t>本次招标</w:t>
      </w:r>
      <w:r>
        <w:rPr>
          <w:rFonts w:hint="eastAsia" w:ascii="宋体"/>
          <w:color w:val="auto"/>
          <w:sz w:val="24"/>
        </w:rPr>
        <w:t>采用最低报价法，价格分占总分100分。</w:t>
      </w:r>
    </w:p>
    <w:p w14:paraId="62B20932">
      <w:pPr>
        <w:numPr>
          <w:ilvl w:val="0"/>
          <w:numId w:val="10"/>
        </w:numPr>
        <w:spacing w:before="0" w:after="0"/>
        <w:ind w:firstLine="480" w:firstLineChars="200"/>
        <w:rPr>
          <w:rFonts w:hint="eastAsia" w:ascii="宋体"/>
          <w:color w:val="auto"/>
          <w:sz w:val="24"/>
        </w:rPr>
      </w:pPr>
      <w:r>
        <w:rPr>
          <w:rFonts w:hint="eastAsia" w:ascii="宋体"/>
          <w:color w:val="auto"/>
          <w:sz w:val="24"/>
        </w:rPr>
        <w:t>若投标报价中有缺漏项，则将其他进入详细评审的投标人中该项最高价计入该投标人修正后的投标总价，作为其价格评审的评审价。</w:t>
      </w:r>
    </w:p>
    <w:p w14:paraId="2C810725">
      <w:pPr>
        <w:numPr>
          <w:ilvl w:val="0"/>
          <w:numId w:val="10"/>
        </w:numPr>
        <w:spacing w:before="0" w:after="0"/>
        <w:ind w:firstLine="480" w:firstLineChars="200"/>
        <w:rPr>
          <w:rFonts w:hint="eastAsia" w:ascii="宋体"/>
          <w:color w:val="auto"/>
          <w:sz w:val="24"/>
        </w:rPr>
      </w:pPr>
      <w:r>
        <w:rPr>
          <w:rFonts w:hint="eastAsia" w:ascii="宋体"/>
          <w:color w:val="auto"/>
          <w:sz w:val="24"/>
        </w:rPr>
        <w:t>评委会二分之一以上人员认为某投标报价有低于成本价嫌疑的，为无效报价。若各家报价税率不同，则以不含税价为有效计算报价。</w:t>
      </w:r>
    </w:p>
    <w:p w14:paraId="07EC89F6">
      <w:pPr>
        <w:numPr>
          <w:ilvl w:val="0"/>
          <w:numId w:val="10"/>
        </w:numPr>
        <w:spacing w:before="0" w:after="0"/>
        <w:ind w:firstLine="480" w:firstLineChars="200"/>
        <w:rPr>
          <w:rFonts w:hint="eastAsia" w:ascii="宋体"/>
          <w:color w:val="auto"/>
          <w:sz w:val="24"/>
        </w:rPr>
      </w:pPr>
      <w:r>
        <w:rPr>
          <w:rFonts w:hint="eastAsia" w:ascii="宋体"/>
          <w:color w:val="auto"/>
          <w:sz w:val="24"/>
        </w:rPr>
        <w:t>计算方法示例：以满足招标文件要求且投标价格最低的报价为基准价，其价格分为满分，其余价格分按线性插值法计算。</w:t>
      </w:r>
    </w:p>
    <w:p w14:paraId="76743A18">
      <w:pPr>
        <w:numPr>
          <w:ilvl w:val="0"/>
          <w:numId w:val="10"/>
        </w:numPr>
        <w:spacing w:before="0" w:after="0"/>
        <w:ind w:firstLine="480" w:firstLineChars="200"/>
        <w:rPr>
          <w:rFonts w:hint="eastAsia" w:ascii="宋体"/>
          <w:color w:val="auto"/>
          <w:sz w:val="24"/>
        </w:rPr>
      </w:pPr>
      <w:r>
        <w:rPr>
          <w:rFonts w:hint="eastAsia" w:ascii="宋体"/>
          <w:color w:val="auto"/>
          <w:sz w:val="24"/>
        </w:rPr>
        <w:t>评审小组按表决前确定的评审方法对实质上响应招标文件的投标进行详细评审，按最终得分从高到低排序，推荐中标候选人。当一次表决结果过于分散或无法确定中标候选人时，可进行多次表决。</w:t>
      </w:r>
    </w:p>
    <w:p w14:paraId="47C303EF">
      <w:pPr>
        <w:pStyle w:val="3"/>
      </w:pPr>
      <w:bookmarkStart w:id="97" w:name="_Toc11932"/>
      <w:bookmarkStart w:id="98" w:name="_Toc184805394"/>
      <w:r>
        <w:rPr>
          <w:rFonts w:hint="eastAsia"/>
        </w:rPr>
        <w:t>7</w:t>
      </w:r>
      <w:r>
        <w:t>.</w:t>
      </w:r>
      <w:r>
        <w:rPr>
          <w:rFonts w:hint="eastAsia"/>
        </w:rPr>
        <w:t xml:space="preserve"> </w:t>
      </w:r>
      <w:bookmarkEnd w:id="88"/>
      <w:bookmarkEnd w:id="89"/>
      <w:bookmarkEnd w:id="90"/>
      <w:bookmarkEnd w:id="91"/>
      <w:bookmarkEnd w:id="92"/>
      <w:bookmarkEnd w:id="93"/>
      <w:bookmarkEnd w:id="94"/>
      <w:bookmarkEnd w:id="95"/>
      <w:bookmarkEnd w:id="96"/>
      <w:r>
        <w:rPr>
          <w:rFonts w:hint="eastAsia"/>
          <w:color w:val="auto"/>
        </w:rPr>
        <w:t>授予合同</w:t>
      </w:r>
      <w:bookmarkEnd w:id="97"/>
      <w:bookmarkEnd w:id="98"/>
    </w:p>
    <w:p w14:paraId="1F7AB5D4">
      <w:pPr>
        <w:spacing w:before="0" w:after="0"/>
        <w:ind w:firstLine="482" w:firstLineChars="200"/>
        <w:rPr>
          <w:rFonts w:hint="eastAsia" w:ascii="宋体" w:hAnsi="宋体"/>
          <w:kern w:val="2"/>
          <w:sz w:val="24"/>
          <w:szCs w:val="24"/>
        </w:rPr>
      </w:pPr>
      <w:bookmarkStart w:id="99" w:name="_Toc57518327"/>
      <w:bookmarkStart w:id="100" w:name="_Toc23479978"/>
      <w:bookmarkStart w:id="101" w:name="_Toc57518384"/>
      <w:bookmarkStart w:id="102" w:name="_Toc523196824"/>
      <w:bookmarkStart w:id="103" w:name="_Toc509024850"/>
      <w:bookmarkStart w:id="104" w:name="_Toc212001940"/>
      <w:bookmarkStart w:id="105" w:name="_Toc57478040"/>
      <w:bookmarkStart w:id="106" w:name="_Toc57518139"/>
      <w:bookmarkStart w:id="107" w:name="_Toc509025049"/>
      <w:r>
        <w:rPr>
          <w:rFonts w:hint="eastAsia" w:ascii="宋体" w:hAnsi="宋体"/>
          <w:b/>
          <w:kern w:val="2"/>
          <w:sz w:val="24"/>
          <w:szCs w:val="24"/>
          <w:lang w:val="en-US" w:eastAsia="zh-CN"/>
        </w:rPr>
        <w:t>中</w:t>
      </w:r>
      <w:r>
        <w:rPr>
          <w:rFonts w:hint="eastAsia" w:ascii="宋体" w:hAnsi="宋体"/>
          <w:b/>
          <w:kern w:val="2"/>
          <w:sz w:val="24"/>
          <w:szCs w:val="24"/>
        </w:rPr>
        <w:t>标原则：</w:t>
      </w:r>
      <w:r>
        <w:rPr>
          <w:rFonts w:hint="eastAsia" w:ascii="宋体" w:hAnsi="宋体"/>
          <w:kern w:val="2"/>
          <w:sz w:val="24"/>
          <w:szCs w:val="24"/>
        </w:rPr>
        <w:t>评审小组将根据评审后</w:t>
      </w:r>
      <w:r>
        <w:rPr>
          <w:rFonts w:hint="eastAsia" w:ascii="宋体" w:hAnsi="宋体"/>
          <w:kern w:val="2"/>
          <w:sz w:val="24"/>
          <w:szCs w:val="24"/>
          <w:lang w:val="en-US" w:eastAsia="zh-CN"/>
        </w:rPr>
        <w:t>各</w:t>
      </w:r>
      <w:r>
        <w:rPr>
          <w:rFonts w:hint="eastAsia" w:ascii="宋体" w:hAnsi="宋体"/>
          <w:kern w:val="2"/>
          <w:sz w:val="24"/>
          <w:szCs w:val="24"/>
        </w:rPr>
        <w:t>投标人最终得分</w:t>
      </w:r>
      <w:r>
        <w:rPr>
          <w:rFonts w:hint="eastAsia" w:ascii="宋体" w:hAnsi="宋体"/>
          <w:kern w:val="2"/>
          <w:sz w:val="24"/>
          <w:szCs w:val="24"/>
          <w:lang w:val="en-US" w:eastAsia="zh-CN"/>
        </w:rPr>
        <w:t>从高到低拍讯</w:t>
      </w:r>
      <w:r>
        <w:rPr>
          <w:rFonts w:hint="eastAsia" w:ascii="宋体" w:hAnsi="宋体"/>
          <w:kern w:val="2"/>
          <w:sz w:val="24"/>
          <w:szCs w:val="24"/>
        </w:rPr>
        <w:t>，提出中标顺序，推荐排名第一的投标人为候选中标人，评审结果按招标方内部制度履行审批程序后定标。</w:t>
      </w:r>
    </w:p>
    <w:p w14:paraId="419E3CDD">
      <w:pPr>
        <w:spacing w:before="0" w:after="0"/>
        <w:ind w:firstLine="482" w:firstLineChars="200"/>
        <w:rPr>
          <w:rFonts w:hint="eastAsia" w:ascii="宋体" w:hAnsi="宋体"/>
          <w:kern w:val="2"/>
          <w:sz w:val="24"/>
          <w:szCs w:val="24"/>
        </w:rPr>
      </w:pPr>
      <w:r>
        <w:rPr>
          <w:rFonts w:hint="eastAsia" w:ascii="宋体" w:hAnsi="宋体"/>
          <w:b/>
          <w:kern w:val="2"/>
          <w:sz w:val="24"/>
          <w:szCs w:val="24"/>
        </w:rPr>
        <w:t>中标通知：</w:t>
      </w:r>
      <w:r>
        <w:rPr>
          <w:rFonts w:hint="eastAsia" w:ascii="宋体" w:hAnsi="宋体"/>
          <w:kern w:val="2"/>
          <w:sz w:val="24"/>
          <w:szCs w:val="24"/>
        </w:rPr>
        <w:t>中标人确定后，</w:t>
      </w:r>
      <w:r>
        <w:rPr>
          <w:rFonts w:hint="eastAsia" w:ascii="宋体"/>
          <w:kern w:val="2"/>
          <w:sz w:val="24"/>
          <w:szCs w:val="24"/>
        </w:rPr>
        <w:t>招标结果将通过所有的投标人</w:t>
      </w:r>
      <w:r>
        <w:rPr>
          <w:rFonts w:hint="eastAsia" w:ascii="宋体" w:hAnsi="宋体"/>
          <w:kern w:val="2"/>
          <w:sz w:val="24"/>
          <w:szCs w:val="24"/>
          <w:lang w:eastAsia="zh-CN"/>
        </w:rPr>
        <w:t>，</w:t>
      </w:r>
      <w:r>
        <w:rPr>
          <w:rFonts w:hint="eastAsia" w:ascii="宋体" w:hAnsi="宋体"/>
          <w:kern w:val="2"/>
          <w:sz w:val="24"/>
          <w:szCs w:val="24"/>
        </w:rPr>
        <w:t>通常为电子邮件形式。不向未中标单位解释落标原因，投标文件不</w:t>
      </w:r>
      <w:r>
        <w:rPr>
          <w:rFonts w:hint="eastAsia" w:ascii="宋体" w:hAnsi="宋体"/>
          <w:kern w:val="2"/>
          <w:sz w:val="24"/>
          <w:szCs w:val="24"/>
          <w:lang w:val="en-US" w:eastAsia="zh-CN"/>
        </w:rPr>
        <w:t>予</w:t>
      </w:r>
      <w:r>
        <w:rPr>
          <w:rFonts w:hint="eastAsia" w:ascii="宋体" w:hAnsi="宋体"/>
          <w:kern w:val="2"/>
          <w:sz w:val="24"/>
          <w:szCs w:val="24"/>
        </w:rPr>
        <w:t>退还。</w:t>
      </w:r>
    </w:p>
    <w:p w14:paraId="6E91C2A0">
      <w:pPr>
        <w:spacing w:before="0" w:after="0"/>
        <w:ind w:firstLine="480" w:firstLineChars="200"/>
        <w:rPr>
          <w:rFonts w:hint="eastAsia" w:ascii="宋体" w:hAnsi="宋体"/>
          <w:kern w:val="2"/>
          <w:sz w:val="24"/>
          <w:szCs w:val="24"/>
        </w:rPr>
      </w:pPr>
      <w:r>
        <w:rPr>
          <w:rFonts w:hint="eastAsia" w:ascii="宋体" w:hAnsi="宋体"/>
          <w:kern w:val="2"/>
          <w:sz w:val="24"/>
          <w:szCs w:val="24"/>
        </w:rPr>
        <w:t>中标通知书</w:t>
      </w:r>
      <w:r>
        <w:rPr>
          <w:rFonts w:hint="eastAsia" w:ascii="宋体" w:hAnsi="宋体"/>
          <w:kern w:val="2"/>
          <w:sz w:val="24"/>
          <w:szCs w:val="24"/>
          <w:lang w:val="en-US" w:eastAsia="zh-CN"/>
        </w:rPr>
        <w:t>是</w:t>
      </w:r>
      <w:r>
        <w:rPr>
          <w:rFonts w:hint="eastAsia" w:ascii="宋体" w:hAnsi="宋体"/>
          <w:kern w:val="2"/>
          <w:sz w:val="24"/>
          <w:szCs w:val="24"/>
        </w:rPr>
        <w:t>签订合同的依据，对招标人和中标人具有法律效力，</w:t>
      </w:r>
      <w:r>
        <w:rPr>
          <w:rFonts w:hint="eastAsia" w:ascii="宋体" w:hAnsi="宋体"/>
          <w:kern w:val="2"/>
          <w:sz w:val="24"/>
          <w:szCs w:val="24"/>
          <w:lang w:val="en-US" w:eastAsia="zh-CN"/>
        </w:rPr>
        <w:t>若</w:t>
      </w:r>
      <w:r>
        <w:rPr>
          <w:rFonts w:hint="eastAsia" w:ascii="宋体" w:hAnsi="宋体"/>
          <w:kern w:val="2"/>
          <w:sz w:val="24"/>
          <w:szCs w:val="24"/>
        </w:rPr>
        <w:t>中标单位在合同谈判后对条款</w:t>
      </w:r>
      <w:r>
        <w:rPr>
          <w:rFonts w:hint="eastAsia" w:ascii="宋体" w:hAnsi="宋体"/>
          <w:kern w:val="2"/>
          <w:sz w:val="24"/>
          <w:szCs w:val="24"/>
          <w:lang w:val="en-US" w:eastAsia="zh-CN"/>
        </w:rPr>
        <w:t>做出</w:t>
      </w:r>
      <w:r>
        <w:rPr>
          <w:rFonts w:hint="eastAsia" w:ascii="宋体" w:hAnsi="宋体"/>
          <w:kern w:val="2"/>
          <w:sz w:val="24"/>
          <w:szCs w:val="24"/>
        </w:rPr>
        <w:t>实质性变更</w:t>
      </w:r>
      <w:r>
        <w:rPr>
          <w:rFonts w:hint="eastAsia" w:ascii="宋体" w:hAnsi="宋体"/>
          <w:kern w:val="2"/>
          <w:sz w:val="24"/>
          <w:szCs w:val="24"/>
          <w:lang w:eastAsia="zh-CN"/>
        </w:rPr>
        <w:t>，</w:t>
      </w:r>
      <w:r>
        <w:rPr>
          <w:rFonts w:hint="eastAsia" w:ascii="宋体" w:hAnsi="宋体"/>
          <w:kern w:val="2"/>
          <w:sz w:val="24"/>
          <w:szCs w:val="24"/>
        </w:rPr>
        <w:t>或提出令招标单位难以接受的附加条款，招标单位有权撤消中标单位的《中标通知书》</w:t>
      </w:r>
      <w:r>
        <w:rPr>
          <w:rFonts w:hint="eastAsia" w:ascii="宋体" w:hAnsi="宋体"/>
          <w:kern w:val="2"/>
          <w:sz w:val="24"/>
          <w:szCs w:val="24"/>
          <w:lang w:eastAsia="zh-CN"/>
        </w:rPr>
        <w:t>，</w:t>
      </w:r>
      <w:r>
        <w:rPr>
          <w:rFonts w:hint="eastAsia" w:ascii="宋体" w:hAnsi="宋体"/>
          <w:kern w:val="2"/>
          <w:sz w:val="24"/>
          <w:szCs w:val="24"/>
        </w:rPr>
        <w:t>且由中标单位承担由此引</w:t>
      </w:r>
      <w:r>
        <w:rPr>
          <w:rFonts w:hint="eastAsia" w:ascii="宋体" w:hAnsi="宋体"/>
          <w:kern w:val="2"/>
          <w:sz w:val="24"/>
          <w:szCs w:val="24"/>
          <w:lang w:val="en-US" w:eastAsia="zh-CN"/>
        </w:rPr>
        <w:t>发的全部相关</w:t>
      </w:r>
      <w:r>
        <w:rPr>
          <w:rFonts w:hint="eastAsia" w:ascii="宋体" w:hAnsi="宋体"/>
          <w:kern w:val="2"/>
          <w:sz w:val="24"/>
          <w:szCs w:val="24"/>
        </w:rPr>
        <w:t>责任。</w:t>
      </w:r>
    </w:p>
    <w:p w14:paraId="1A72E457">
      <w:pPr>
        <w:pStyle w:val="3"/>
      </w:pPr>
      <w:bookmarkStart w:id="108" w:name="_Toc29313"/>
      <w:bookmarkStart w:id="109" w:name="_Toc184805395"/>
      <w:r>
        <w:rPr>
          <w:rFonts w:hint="eastAsia"/>
        </w:rPr>
        <w:t>8</w:t>
      </w:r>
      <w:r>
        <w:t>.</w:t>
      </w:r>
      <w:r>
        <w:rPr>
          <w:rFonts w:hint="eastAsia"/>
        </w:rPr>
        <w:t xml:space="preserve"> 授予合同时变更内容的权力</w:t>
      </w:r>
      <w:bookmarkEnd w:id="99"/>
      <w:bookmarkEnd w:id="100"/>
      <w:bookmarkEnd w:id="101"/>
      <w:bookmarkEnd w:id="102"/>
      <w:bookmarkEnd w:id="103"/>
      <w:bookmarkEnd w:id="104"/>
      <w:bookmarkEnd w:id="105"/>
      <w:bookmarkEnd w:id="106"/>
      <w:bookmarkEnd w:id="107"/>
      <w:bookmarkEnd w:id="108"/>
      <w:bookmarkEnd w:id="109"/>
    </w:p>
    <w:p w14:paraId="44AE8BE9">
      <w:pPr>
        <w:spacing w:before="0" w:after="0"/>
        <w:ind w:firstLine="480" w:firstLineChars="200"/>
        <w:rPr>
          <w:rFonts w:hint="eastAsia" w:ascii="宋体" w:hAnsi="宋体"/>
          <w:kern w:val="2"/>
          <w:sz w:val="24"/>
          <w:szCs w:val="24"/>
        </w:rPr>
      </w:pPr>
      <w:bookmarkStart w:id="110" w:name="_Toc212001941"/>
      <w:bookmarkStart w:id="111" w:name="_Toc57518140"/>
      <w:bookmarkStart w:id="112" w:name="_Toc57518385"/>
      <w:bookmarkStart w:id="113" w:name="_Toc509025050"/>
      <w:bookmarkStart w:id="114" w:name="_Toc57518328"/>
      <w:bookmarkStart w:id="115" w:name="_Toc523196825"/>
      <w:bookmarkStart w:id="116" w:name="_Toc57478041"/>
      <w:bookmarkStart w:id="117" w:name="_Toc23479979"/>
      <w:bookmarkStart w:id="118" w:name="_Toc509024851"/>
      <w:r>
        <w:rPr>
          <w:rFonts w:hint="eastAsia" w:ascii="宋体" w:hAnsi="宋体"/>
          <w:kern w:val="2"/>
          <w:sz w:val="24"/>
          <w:szCs w:val="24"/>
        </w:rPr>
        <w:t>招标方在授予合同时有权对第三部分“招标内容”中规定的内容等予以变更。</w:t>
      </w:r>
    </w:p>
    <w:p w14:paraId="12B16CE9">
      <w:pPr>
        <w:pStyle w:val="3"/>
      </w:pPr>
      <w:bookmarkStart w:id="119" w:name="_Toc519"/>
      <w:bookmarkStart w:id="120" w:name="_Toc184805396"/>
      <w:r>
        <w:rPr>
          <w:rFonts w:hint="eastAsia"/>
        </w:rPr>
        <w:t>9</w:t>
      </w:r>
      <w:r>
        <w:t>.</w:t>
      </w:r>
      <w:r>
        <w:rPr>
          <w:rFonts w:hint="eastAsia"/>
        </w:rPr>
        <w:t xml:space="preserve"> 签订合同</w:t>
      </w:r>
      <w:bookmarkEnd w:id="110"/>
      <w:bookmarkEnd w:id="111"/>
      <w:bookmarkEnd w:id="112"/>
      <w:bookmarkEnd w:id="113"/>
      <w:bookmarkEnd w:id="114"/>
      <w:bookmarkEnd w:id="115"/>
      <w:bookmarkEnd w:id="116"/>
      <w:bookmarkEnd w:id="117"/>
      <w:bookmarkEnd w:id="118"/>
      <w:bookmarkEnd w:id="119"/>
      <w:bookmarkEnd w:id="120"/>
    </w:p>
    <w:p w14:paraId="1339A8E8">
      <w:pPr>
        <w:spacing w:before="0" w:after="0"/>
        <w:ind w:firstLine="480" w:firstLineChars="200"/>
        <w:rPr>
          <w:rFonts w:hint="eastAsia" w:ascii="宋体" w:hAnsi="宋体"/>
          <w:kern w:val="2"/>
          <w:sz w:val="24"/>
          <w:szCs w:val="24"/>
        </w:rPr>
      </w:pPr>
      <w:r>
        <w:rPr>
          <w:rFonts w:hint="eastAsia" w:ascii="宋体" w:hAnsi="宋体"/>
          <w:kern w:val="2"/>
          <w:sz w:val="24"/>
          <w:szCs w:val="24"/>
        </w:rPr>
        <w:t>自中标通知书发出之日起，中标人应在规定时间内备齐所有签订合同所需的资料（包括但不限于投标书、法定代表人授权书、技术规范等），并严格按照招标文件及其中标人的投标文件与招标人签订书面合同，不得另行订立任何背离合同实质性内容的协议。招标文件、中标人的投标文件、有关澄清文件以及双方合同谈判所达成的协议等，共同作为签订合同的依据。此外，中标人未经招标人同意，不得将中标项目向他人转让，也不得将中标项目分解后分别转让。。</w:t>
      </w:r>
    </w:p>
    <w:p w14:paraId="00D086A4">
      <w:pPr>
        <w:pStyle w:val="3"/>
        <w:rPr>
          <w:color w:val="auto"/>
        </w:rPr>
      </w:pPr>
      <w:bookmarkStart w:id="121" w:name="_Toc450307946"/>
      <w:bookmarkStart w:id="122" w:name="_Toc395705512"/>
      <w:bookmarkStart w:id="123" w:name="_Toc22017"/>
      <w:bookmarkStart w:id="124" w:name="_Toc184805398"/>
      <w:r>
        <w:rPr>
          <w:rFonts w:hint="eastAsia"/>
          <w:color w:val="auto"/>
        </w:rPr>
        <w:t>1</w:t>
      </w:r>
      <w:r>
        <w:rPr>
          <w:rFonts w:hint="eastAsia"/>
          <w:color w:val="auto"/>
          <w:lang w:val="en-US" w:eastAsia="zh-CN"/>
        </w:rPr>
        <w:t>0</w:t>
      </w:r>
      <w:r>
        <w:rPr>
          <w:color w:val="auto"/>
        </w:rPr>
        <w:t>.</w:t>
      </w:r>
      <w:r>
        <w:rPr>
          <w:rFonts w:hint="eastAsia"/>
          <w:color w:val="auto"/>
        </w:rPr>
        <w:t xml:space="preserve"> 纪律与保密</w:t>
      </w:r>
      <w:bookmarkEnd w:id="121"/>
      <w:bookmarkEnd w:id="122"/>
      <w:bookmarkEnd w:id="123"/>
      <w:bookmarkEnd w:id="124"/>
    </w:p>
    <w:p w14:paraId="68902F81">
      <w:pPr>
        <w:spacing w:before="0" w:after="0"/>
        <w:ind w:firstLine="480" w:firstLineChars="200"/>
        <w:rPr>
          <w:rFonts w:ascii="宋体"/>
          <w:kern w:val="2"/>
          <w:sz w:val="24"/>
          <w:szCs w:val="24"/>
        </w:rPr>
      </w:pPr>
      <w:r>
        <w:rPr>
          <w:rFonts w:hint="eastAsia" w:ascii="宋体" w:hAnsi="宋体"/>
          <w:kern w:val="2"/>
          <w:sz w:val="24"/>
          <w:szCs w:val="24"/>
        </w:rPr>
        <w:t>投标人不得串通投标，不得弄虚作假、伪造资质、业绩或财务状况等材料以骗取中标，不得采用不正当手段妨碍、排挤其他投标人，破坏公平竞争。从投标截止日期至授予合同期间，投标人不得以任何形式打听投标文件的审查、澄清、评议及授标意向等情况，不得向评审小组成员行贿或以其他任何形式干扰评标或授标工作，亦不得以评审小组认定的低于成本的报价竞标。投标人应严格遵守廉洁从业相关规定，不得向招标人、评审小组成员或其他相关工作人员赠送礼金、礼品、有价证券或支付报酬，不得以任何形式进行商业贿赂或不正当利益输送，确保招投标过程的廉洁、透明。投标人若违反上述任一要求，其投标文件将被作废。发生下列情况之一的，招标人将取消其中标资格，如中标人给招标人造成损失的，还应当对损失部分予以赔偿</w:t>
      </w:r>
      <w:r>
        <w:rPr>
          <w:rFonts w:hint="eastAsia" w:ascii="宋体"/>
          <w:kern w:val="2"/>
          <w:sz w:val="24"/>
          <w:szCs w:val="24"/>
        </w:rPr>
        <w:t>：</w:t>
      </w:r>
    </w:p>
    <w:p w14:paraId="7E7B5D7F">
      <w:pPr>
        <w:numPr>
          <w:ilvl w:val="0"/>
          <w:numId w:val="11"/>
        </w:numPr>
        <w:spacing w:before="0" w:after="0"/>
        <w:ind w:firstLine="480" w:firstLineChars="200"/>
        <w:rPr>
          <w:rFonts w:hint="eastAsia" w:ascii="宋体"/>
          <w:color w:val="auto"/>
          <w:sz w:val="24"/>
        </w:rPr>
      </w:pPr>
      <w:r>
        <w:rPr>
          <w:rFonts w:hint="eastAsia" w:ascii="宋体"/>
          <w:color w:val="auto"/>
          <w:sz w:val="24"/>
        </w:rPr>
        <w:t>由于中标人的原因，放弃或拒绝与招标人签订合同；</w:t>
      </w:r>
    </w:p>
    <w:p w14:paraId="5DBED815">
      <w:pPr>
        <w:numPr>
          <w:ilvl w:val="0"/>
          <w:numId w:val="11"/>
        </w:numPr>
        <w:spacing w:before="0" w:after="0"/>
        <w:ind w:firstLine="480" w:firstLineChars="200"/>
        <w:rPr>
          <w:rFonts w:hint="eastAsia" w:ascii="宋体"/>
          <w:color w:val="auto"/>
          <w:sz w:val="24"/>
        </w:rPr>
      </w:pPr>
      <w:r>
        <w:rPr>
          <w:rFonts w:hint="eastAsia" w:ascii="宋体"/>
          <w:color w:val="auto"/>
          <w:sz w:val="24"/>
        </w:rPr>
        <w:t>合同执行中，中标人不履约或延迟履约的；</w:t>
      </w:r>
    </w:p>
    <w:p w14:paraId="7D747CB6">
      <w:pPr>
        <w:numPr>
          <w:ilvl w:val="0"/>
          <w:numId w:val="11"/>
        </w:numPr>
        <w:spacing w:before="0" w:after="0"/>
        <w:ind w:firstLine="480" w:firstLineChars="200"/>
        <w:rPr>
          <w:rFonts w:hint="eastAsia" w:ascii="宋体"/>
          <w:color w:val="auto"/>
          <w:sz w:val="24"/>
        </w:rPr>
      </w:pPr>
      <w:r>
        <w:rPr>
          <w:rFonts w:hint="eastAsia" w:ascii="宋体"/>
          <w:color w:val="auto"/>
          <w:sz w:val="24"/>
        </w:rPr>
        <w:t>合同执行中，中标人的产品或服务质量到不到招标人的要求或违反服务保障承诺的。</w:t>
      </w:r>
    </w:p>
    <w:p w14:paraId="08F1E47B">
      <w:pPr>
        <w:rPr>
          <w:rFonts w:ascii="宋体"/>
        </w:rPr>
        <w:sectPr>
          <w:headerReference r:id="rId11" w:type="default"/>
          <w:footerReference r:id="rId12" w:type="default"/>
          <w:pgSz w:w="11906" w:h="16838"/>
          <w:pgMar w:top="1440" w:right="1797" w:bottom="1440" w:left="1797" w:header="851" w:footer="907" w:gutter="0"/>
          <w:cols w:space="425" w:num="1"/>
          <w:docGrid w:type="lines" w:linePitch="312" w:charSpace="0"/>
        </w:sectPr>
      </w:pPr>
    </w:p>
    <w:p w14:paraId="42D7090B">
      <w:pPr>
        <w:pStyle w:val="2"/>
        <w:spacing w:before="120" w:after="120" w:line="240" w:lineRule="auto"/>
        <w:jc w:val="center"/>
        <w:rPr>
          <w:rFonts w:ascii="宋体"/>
          <w:color w:val="000000"/>
          <w:sz w:val="32"/>
        </w:rPr>
      </w:pPr>
      <w:bookmarkStart w:id="125" w:name="_Toc523196829"/>
      <w:bookmarkStart w:id="126" w:name="_Toc57518389"/>
      <w:bookmarkStart w:id="127" w:name="_Toc23479983"/>
      <w:bookmarkStart w:id="128" w:name="_Toc57478045"/>
      <w:bookmarkStart w:id="129" w:name="_Toc57518332"/>
      <w:bookmarkStart w:id="130" w:name="_Toc212001942"/>
      <w:bookmarkStart w:id="131" w:name="_Toc21990"/>
      <w:bookmarkStart w:id="132" w:name="_Toc509025054"/>
      <w:bookmarkStart w:id="133" w:name="_Toc184805399"/>
      <w:bookmarkStart w:id="134" w:name="_Toc57518144"/>
      <w:bookmarkStart w:id="135" w:name="_Toc509024855"/>
      <w:r>
        <w:rPr>
          <w:rFonts w:hint="eastAsia"/>
          <w:color w:val="000000"/>
          <w:sz w:val="32"/>
        </w:rPr>
        <w:t>第三部分</w:t>
      </w:r>
      <w:r>
        <w:rPr>
          <w:color w:val="000000"/>
          <w:sz w:val="32"/>
        </w:rPr>
        <w:t xml:space="preserve">  </w:t>
      </w:r>
      <w:r>
        <w:rPr>
          <w:rFonts w:hint="eastAsia"/>
          <w:color w:val="000000"/>
          <w:sz w:val="32"/>
        </w:rPr>
        <w:t>招标内容</w:t>
      </w:r>
      <w:bookmarkEnd w:id="125"/>
      <w:bookmarkEnd w:id="126"/>
      <w:bookmarkEnd w:id="127"/>
      <w:bookmarkEnd w:id="128"/>
      <w:bookmarkEnd w:id="129"/>
      <w:bookmarkEnd w:id="130"/>
      <w:bookmarkEnd w:id="131"/>
      <w:bookmarkEnd w:id="132"/>
      <w:bookmarkEnd w:id="133"/>
      <w:bookmarkEnd w:id="134"/>
      <w:bookmarkEnd w:id="135"/>
    </w:p>
    <w:p w14:paraId="4E82B3FA">
      <w:pPr>
        <w:pStyle w:val="3"/>
      </w:pPr>
      <w:bookmarkStart w:id="136" w:name="_Toc509024856"/>
      <w:bookmarkStart w:id="137" w:name="_Toc509025055"/>
      <w:bookmarkStart w:id="138" w:name="_Toc23479984"/>
      <w:bookmarkStart w:id="139" w:name="_Toc57518390"/>
      <w:bookmarkStart w:id="140" w:name="_Toc57478046"/>
      <w:bookmarkStart w:id="141" w:name="_Toc523196830"/>
      <w:bookmarkStart w:id="142" w:name="_Toc57518145"/>
      <w:bookmarkStart w:id="143" w:name="_Toc57518333"/>
      <w:bookmarkStart w:id="144" w:name="_Toc212001943"/>
      <w:bookmarkStart w:id="145" w:name="_Toc184805400"/>
      <w:bookmarkStart w:id="146" w:name="_Toc6258"/>
      <w:r>
        <w:rPr>
          <w:rFonts w:hint="eastAsia"/>
        </w:rPr>
        <w:t xml:space="preserve">1. </w:t>
      </w:r>
      <w:bookmarkEnd w:id="136"/>
      <w:bookmarkEnd w:id="137"/>
      <w:bookmarkEnd w:id="138"/>
      <w:bookmarkEnd w:id="139"/>
      <w:bookmarkEnd w:id="140"/>
      <w:bookmarkEnd w:id="141"/>
      <w:bookmarkEnd w:id="142"/>
      <w:bookmarkEnd w:id="143"/>
      <w:bookmarkEnd w:id="144"/>
      <w:r>
        <w:rPr>
          <w:rFonts w:hint="eastAsia"/>
        </w:rPr>
        <w:t>招标方介绍</w:t>
      </w:r>
      <w:bookmarkEnd w:id="145"/>
      <w:bookmarkEnd w:id="146"/>
    </w:p>
    <w:p w14:paraId="073F5484">
      <w:pPr>
        <w:spacing w:before="120" w:after="120"/>
        <w:ind w:firstLine="480" w:firstLineChars="200"/>
        <w:rPr>
          <w:rFonts w:ascii="宋体"/>
          <w:sz w:val="24"/>
        </w:rPr>
      </w:pPr>
      <w:r>
        <w:rPr>
          <w:rFonts w:hint="eastAsia" w:ascii="宋体"/>
          <w:sz w:val="24"/>
        </w:rPr>
        <w:t>关于招标方的情况介绍可以从</w:t>
      </w:r>
      <w:r>
        <w:rPr>
          <w:rFonts w:hint="eastAsia" w:ascii="宋体"/>
          <w:sz w:val="24"/>
          <w:lang w:eastAsia="zh-CN"/>
        </w:rPr>
        <w:t>国盛期货有限责任公司</w:t>
      </w:r>
      <w:r>
        <w:rPr>
          <w:rFonts w:hint="eastAsia" w:ascii="宋体"/>
          <w:sz w:val="24"/>
        </w:rPr>
        <w:t>的网站获得，该网站的链接地址为https://www.guoshengqh.com/。</w:t>
      </w:r>
    </w:p>
    <w:p w14:paraId="66D1C628">
      <w:pPr>
        <w:pStyle w:val="3"/>
      </w:pPr>
      <w:bookmarkStart w:id="147" w:name="_Toc226965776"/>
      <w:bookmarkStart w:id="148" w:name="_Toc212001946"/>
      <w:bookmarkStart w:id="149" w:name="_Toc184805401"/>
      <w:bookmarkStart w:id="150" w:name="_Toc10508"/>
      <w:bookmarkStart w:id="151" w:name="_Toc509024857"/>
      <w:bookmarkStart w:id="152" w:name="_Toc57518334"/>
      <w:bookmarkStart w:id="153" w:name="_Toc57518146"/>
      <w:bookmarkStart w:id="154" w:name="_Toc57478047"/>
      <w:bookmarkStart w:id="155" w:name="_Toc57518391"/>
      <w:bookmarkStart w:id="156" w:name="_Toc509025056"/>
      <w:bookmarkStart w:id="157" w:name="_Toc23479985"/>
      <w:bookmarkStart w:id="158" w:name="_Toc523196831"/>
      <w:r>
        <w:rPr>
          <w:rFonts w:hint="eastAsia"/>
        </w:rPr>
        <w:t>2</w:t>
      </w:r>
      <w:r>
        <w:t>.</w:t>
      </w:r>
      <w:r>
        <w:rPr>
          <w:rFonts w:hint="eastAsia"/>
        </w:rPr>
        <w:t xml:space="preserve"> 招标项目</w:t>
      </w:r>
      <w:r>
        <w:rPr>
          <w:rFonts w:hint="eastAsia"/>
          <w:lang w:val="en-US" w:eastAsia="zh-CN"/>
        </w:rPr>
        <w:t>要求及</w:t>
      </w:r>
      <w:r>
        <w:rPr>
          <w:rFonts w:hint="eastAsia"/>
        </w:rPr>
        <w:t>范围</w:t>
      </w:r>
      <w:bookmarkEnd w:id="147"/>
      <w:bookmarkEnd w:id="148"/>
      <w:bookmarkEnd w:id="149"/>
      <w:bookmarkEnd w:id="150"/>
    </w:p>
    <w:p w14:paraId="18ABD163">
      <w:pPr>
        <w:spacing w:before="120" w:after="120"/>
        <w:ind w:firstLine="480" w:firstLineChars="200"/>
        <w:rPr>
          <w:sz w:val="24"/>
        </w:rPr>
      </w:pPr>
      <w:r>
        <w:rPr>
          <w:rFonts w:hint="eastAsia"/>
          <w:color w:val="000000"/>
          <w:sz w:val="24"/>
        </w:rPr>
        <w:t>具体要求见</w:t>
      </w:r>
      <w:r>
        <w:rPr>
          <w:rFonts w:hint="eastAsia"/>
          <w:b/>
          <w:color w:val="000000"/>
          <w:sz w:val="24"/>
        </w:rPr>
        <w:t>附件5：</w:t>
      </w:r>
      <w:bookmarkStart w:id="159" w:name="_Hlk181726936"/>
      <w:r>
        <w:rPr>
          <w:rFonts w:hint="eastAsia"/>
          <w:b/>
          <w:color w:val="000000"/>
          <w:sz w:val="24"/>
        </w:rPr>
        <w:t>【</w:t>
      </w:r>
      <w:r>
        <w:rPr>
          <w:rFonts w:hint="eastAsia" w:ascii="宋体" w:hAnsi="宋体"/>
          <w:b/>
          <w:color w:val="000000"/>
          <w:sz w:val="24"/>
        </w:rPr>
        <w:t>国盛期货</w:t>
      </w:r>
      <w:r>
        <w:rPr>
          <w:rFonts w:hint="eastAsia" w:ascii="宋体" w:hAnsi="宋体"/>
          <w:b/>
          <w:color w:val="000000"/>
          <w:sz w:val="24"/>
          <w:lang w:eastAsia="zh-CN"/>
        </w:rPr>
        <w:t>机柜维护服务框架</w:t>
      </w:r>
      <w:r>
        <w:rPr>
          <w:rFonts w:hint="eastAsia"/>
          <w:b/>
          <w:color w:val="000000"/>
          <w:sz w:val="24"/>
          <w:lang w:val="en-US" w:eastAsia="zh-CN"/>
        </w:rPr>
        <w:t>采购项目</w:t>
      </w:r>
      <w:r>
        <w:rPr>
          <w:rFonts w:hint="eastAsia" w:hAnsi="宋体"/>
          <w:b/>
          <w:color w:val="000000"/>
          <w:sz w:val="24"/>
        </w:rPr>
        <w:t>】</w:t>
      </w:r>
      <w:r>
        <w:rPr>
          <w:rFonts w:hint="eastAsia" w:hAnsi="宋体"/>
          <w:b/>
          <w:color w:val="000000"/>
          <w:sz w:val="24"/>
          <w:lang w:val="en-US" w:eastAsia="zh-CN"/>
        </w:rPr>
        <w:t>需求</w:t>
      </w:r>
      <w:r>
        <w:rPr>
          <w:rFonts w:hint="eastAsia"/>
          <w:b/>
          <w:color w:val="000000"/>
          <w:sz w:val="24"/>
        </w:rPr>
        <w:t>。</w:t>
      </w:r>
      <w:bookmarkEnd w:id="159"/>
    </w:p>
    <w:bookmarkEnd w:id="151"/>
    <w:bookmarkEnd w:id="152"/>
    <w:bookmarkEnd w:id="153"/>
    <w:bookmarkEnd w:id="154"/>
    <w:bookmarkEnd w:id="155"/>
    <w:bookmarkEnd w:id="156"/>
    <w:bookmarkEnd w:id="157"/>
    <w:bookmarkEnd w:id="158"/>
    <w:p w14:paraId="34773E64">
      <w:pPr>
        <w:pStyle w:val="3"/>
      </w:pPr>
      <w:bookmarkStart w:id="160" w:name="_Toc57478051"/>
      <w:bookmarkStart w:id="161" w:name="_Toc196795853"/>
      <w:bookmarkStart w:id="162" w:name="_Toc509025060"/>
      <w:bookmarkStart w:id="163" w:name="_Toc57518150"/>
      <w:bookmarkStart w:id="164" w:name="_Toc184805402"/>
      <w:bookmarkStart w:id="165" w:name="_Toc20911"/>
      <w:bookmarkStart w:id="166" w:name="_Toc57518395"/>
      <w:bookmarkStart w:id="167" w:name="_Toc57518338"/>
      <w:bookmarkStart w:id="168" w:name="_Toc509024861"/>
      <w:bookmarkStart w:id="169" w:name="_Toc523196835"/>
      <w:bookmarkStart w:id="170" w:name="_Toc226965777"/>
      <w:bookmarkStart w:id="171" w:name="_Toc23479989"/>
      <w:r>
        <w:rPr>
          <w:rFonts w:hint="eastAsia"/>
        </w:rPr>
        <w:t>3. 报价</w:t>
      </w:r>
      <w:bookmarkEnd w:id="160"/>
      <w:bookmarkEnd w:id="161"/>
      <w:bookmarkEnd w:id="162"/>
      <w:bookmarkEnd w:id="163"/>
      <w:bookmarkEnd w:id="164"/>
      <w:bookmarkEnd w:id="165"/>
      <w:bookmarkEnd w:id="166"/>
      <w:bookmarkEnd w:id="167"/>
      <w:bookmarkEnd w:id="168"/>
      <w:bookmarkEnd w:id="169"/>
      <w:bookmarkEnd w:id="170"/>
      <w:bookmarkEnd w:id="171"/>
    </w:p>
    <w:p w14:paraId="5DA16143">
      <w:pPr>
        <w:spacing w:before="120" w:after="120"/>
        <w:ind w:firstLine="480" w:firstLineChars="200"/>
        <w:rPr>
          <w:rFonts w:ascii="宋体"/>
          <w:sz w:val="24"/>
        </w:rPr>
      </w:pPr>
      <w:r>
        <w:rPr>
          <w:rFonts w:hint="eastAsia" w:ascii="宋体" w:hAnsi="宋体"/>
          <w:sz w:val="24"/>
        </w:rPr>
        <w:t>本条描述了对投标人报价的要求。投标人应特别加以注意</w:t>
      </w:r>
      <w:r>
        <w:rPr>
          <w:rFonts w:hint="eastAsia" w:ascii="宋体"/>
          <w:sz w:val="24"/>
        </w:rPr>
        <w:t>。</w:t>
      </w:r>
    </w:p>
    <w:p w14:paraId="131D2680">
      <w:pPr>
        <w:pStyle w:val="5"/>
        <w:rPr>
          <w:szCs w:val="24"/>
        </w:rPr>
      </w:pPr>
      <w:bookmarkStart w:id="172" w:name="_Toc57478052"/>
      <w:bookmarkStart w:id="173" w:name="_Toc226965778"/>
      <w:bookmarkStart w:id="174" w:name="_Toc478730614"/>
      <w:bookmarkStart w:id="175" w:name="_Toc23479990"/>
      <w:bookmarkStart w:id="176" w:name="_Toc196795854"/>
      <w:bookmarkStart w:id="177" w:name="_Toc184805403"/>
      <w:bookmarkStart w:id="178" w:name="_Toc509025061"/>
      <w:bookmarkStart w:id="179" w:name="_Toc523196836"/>
      <w:bookmarkStart w:id="180" w:name="_Toc57518396"/>
      <w:bookmarkStart w:id="181" w:name="_Toc24288"/>
      <w:bookmarkStart w:id="182" w:name="_Toc57518339"/>
      <w:bookmarkStart w:id="183" w:name="_Toc509024862"/>
      <w:bookmarkStart w:id="184" w:name="_Toc57518151"/>
      <w:r>
        <w:t>3.1</w:t>
      </w:r>
      <w:r>
        <w:rPr>
          <w:rFonts w:hint="eastAsia"/>
        </w:rPr>
        <w:t xml:space="preserve"> </w:t>
      </w:r>
      <w:r>
        <w:rPr>
          <w:rFonts w:hint="eastAsia"/>
          <w:szCs w:val="24"/>
        </w:rPr>
        <w:t>报价总则</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605ACA33">
      <w:pPr>
        <w:spacing w:before="120" w:after="120"/>
        <w:ind w:firstLine="480" w:firstLineChars="200"/>
        <w:rPr>
          <w:rFonts w:hint="eastAsia" w:ascii="宋体" w:hAnsi="宋体"/>
          <w:kern w:val="2"/>
          <w:sz w:val="24"/>
          <w:szCs w:val="24"/>
        </w:rPr>
      </w:pPr>
      <w:bookmarkStart w:id="185" w:name="_Toc196795855"/>
      <w:bookmarkStart w:id="186" w:name="_Toc226965779"/>
      <w:bookmarkStart w:id="187" w:name="_Toc478730615"/>
      <w:r>
        <w:rPr>
          <w:rFonts w:hint="eastAsia" w:ascii="宋体" w:hAnsi="宋体"/>
          <w:kern w:val="2"/>
          <w:sz w:val="24"/>
          <w:szCs w:val="24"/>
        </w:rPr>
        <w:t>在提交的投标报价中，投标总价为投标人提供招标文件要求所有产品的一次性报价。原则上不允许进行二次报价。</w:t>
      </w:r>
    </w:p>
    <w:p w14:paraId="160BEE3B">
      <w:pPr>
        <w:spacing w:before="120" w:after="120"/>
        <w:ind w:firstLine="480" w:firstLineChars="200"/>
        <w:rPr>
          <w:rFonts w:hint="eastAsia" w:ascii="宋体" w:hAnsi="宋体"/>
          <w:kern w:val="2"/>
          <w:sz w:val="24"/>
          <w:szCs w:val="24"/>
        </w:rPr>
      </w:pPr>
      <w:bookmarkStart w:id="188" w:name="_Toc23479991"/>
      <w:bookmarkStart w:id="189" w:name="_Toc57518152"/>
      <w:bookmarkStart w:id="190" w:name="_Toc523196837"/>
      <w:bookmarkStart w:id="191" w:name="_Toc57478053"/>
      <w:bookmarkStart w:id="192" w:name="_Toc509024863"/>
      <w:bookmarkStart w:id="193" w:name="_Toc57518340"/>
      <w:bookmarkStart w:id="194" w:name="_Toc57518397"/>
      <w:bookmarkStart w:id="195" w:name="_Toc509025062"/>
      <w:r>
        <w:rPr>
          <w:rFonts w:hint="eastAsia" w:ascii="宋体" w:hAnsi="宋体"/>
          <w:kern w:val="2"/>
          <w:sz w:val="24"/>
          <w:szCs w:val="24"/>
        </w:rPr>
        <w:t>如果投标人有其他额外建议，作为可选内容同时给出详细报价。</w:t>
      </w:r>
    </w:p>
    <w:p w14:paraId="62BF0FE5">
      <w:pPr>
        <w:spacing w:before="120" w:after="120"/>
        <w:ind w:firstLine="480" w:firstLineChars="200"/>
        <w:rPr>
          <w:rFonts w:hint="eastAsia" w:ascii="宋体" w:hAnsi="宋体"/>
          <w:kern w:val="2"/>
          <w:sz w:val="24"/>
          <w:szCs w:val="24"/>
        </w:rPr>
      </w:pPr>
      <w:r>
        <w:rPr>
          <w:rFonts w:hint="eastAsia" w:ascii="宋体" w:hAnsi="宋体"/>
          <w:kern w:val="2"/>
          <w:sz w:val="24"/>
          <w:szCs w:val="24"/>
        </w:rPr>
        <w:t>价格单中相应内容的报价必须计算正确。</w:t>
      </w:r>
    </w:p>
    <w:p w14:paraId="56D1A273">
      <w:pPr>
        <w:spacing w:before="120" w:after="120"/>
        <w:ind w:firstLine="480" w:firstLineChars="200"/>
        <w:rPr>
          <w:rFonts w:hint="eastAsia" w:ascii="宋体" w:hAnsi="宋体"/>
          <w:kern w:val="2"/>
          <w:sz w:val="24"/>
          <w:szCs w:val="24"/>
        </w:rPr>
      </w:pPr>
      <w:r>
        <w:rPr>
          <w:rFonts w:hint="eastAsia" w:ascii="宋体" w:hAnsi="宋体"/>
          <w:kern w:val="2"/>
          <w:sz w:val="24"/>
          <w:szCs w:val="24"/>
        </w:rPr>
        <w:t>所有价格单中，任何一处报价不得为空，否则视为无效报价。</w:t>
      </w:r>
    </w:p>
    <w:p w14:paraId="435202F3">
      <w:pPr>
        <w:spacing w:before="120" w:after="120"/>
        <w:ind w:firstLine="480" w:firstLineChars="200"/>
        <w:rPr>
          <w:rFonts w:hint="eastAsia" w:ascii="宋体" w:hAnsi="宋体"/>
          <w:kern w:val="2"/>
          <w:sz w:val="24"/>
          <w:szCs w:val="24"/>
        </w:rPr>
      </w:pPr>
      <w:r>
        <w:rPr>
          <w:rFonts w:hint="eastAsia" w:ascii="宋体" w:hAnsi="宋体"/>
          <w:kern w:val="2"/>
          <w:sz w:val="24"/>
          <w:szCs w:val="24"/>
        </w:rPr>
        <w:t>对于投标人免费提供的项目，投标人要先填写该项目的实际价格，再在旁边注明免费。此项不计入总价或合计价。</w:t>
      </w:r>
    </w:p>
    <w:bookmarkEnd w:id="188"/>
    <w:bookmarkEnd w:id="189"/>
    <w:bookmarkEnd w:id="190"/>
    <w:bookmarkEnd w:id="191"/>
    <w:bookmarkEnd w:id="192"/>
    <w:bookmarkEnd w:id="193"/>
    <w:bookmarkEnd w:id="194"/>
    <w:bookmarkEnd w:id="195"/>
    <w:p w14:paraId="3C47F0B4">
      <w:pPr>
        <w:pStyle w:val="5"/>
        <w:rPr>
          <w:szCs w:val="24"/>
        </w:rPr>
      </w:pPr>
      <w:bookmarkStart w:id="196" w:name="_Toc7862"/>
      <w:bookmarkStart w:id="197" w:name="_Toc184805404"/>
      <w:r>
        <w:rPr>
          <w:rFonts w:hint="eastAsia"/>
          <w:szCs w:val="24"/>
        </w:rPr>
        <w:t xml:space="preserve">3.2 </w:t>
      </w:r>
      <w:bookmarkEnd w:id="185"/>
      <w:bookmarkEnd w:id="186"/>
      <w:r>
        <w:rPr>
          <w:rFonts w:hint="eastAsia"/>
          <w:szCs w:val="24"/>
        </w:rPr>
        <w:t>报价表</w:t>
      </w:r>
      <w:bookmarkEnd w:id="187"/>
      <w:bookmarkEnd w:id="196"/>
      <w:bookmarkEnd w:id="197"/>
    </w:p>
    <w:p w14:paraId="2EEA0DB9">
      <w:pPr>
        <w:spacing w:before="120" w:after="120"/>
        <w:ind w:firstLine="480" w:firstLineChars="200"/>
        <w:rPr>
          <w:rFonts w:hint="eastAsia" w:ascii="宋体" w:hAnsi="宋体"/>
          <w:kern w:val="2"/>
          <w:sz w:val="24"/>
          <w:szCs w:val="24"/>
        </w:rPr>
      </w:pPr>
      <w:r>
        <w:rPr>
          <w:rFonts w:hint="eastAsia" w:ascii="宋体" w:hAnsi="宋体"/>
          <w:kern w:val="2"/>
          <w:sz w:val="24"/>
          <w:szCs w:val="24"/>
        </w:rPr>
        <w:t>投标人必须填写本招标书中</w:t>
      </w:r>
      <w:r>
        <w:rPr>
          <w:rFonts w:hint="eastAsia" w:ascii="宋体" w:hAnsi="宋体"/>
          <w:b/>
          <w:kern w:val="2"/>
          <w:sz w:val="24"/>
          <w:szCs w:val="24"/>
        </w:rPr>
        <w:t>附件2投标价格表，且投标价格表页均加盖公章</w:t>
      </w:r>
      <w:r>
        <w:rPr>
          <w:rFonts w:hint="eastAsia" w:ascii="宋体" w:hAnsi="宋体"/>
          <w:kern w:val="2"/>
          <w:sz w:val="24"/>
          <w:szCs w:val="24"/>
        </w:rPr>
        <w:t>。</w:t>
      </w:r>
    </w:p>
    <w:p w14:paraId="641D2DFF">
      <w:pPr>
        <w:spacing w:before="120" w:after="120"/>
        <w:ind w:firstLine="480" w:firstLineChars="200"/>
        <w:rPr>
          <w:rFonts w:hint="eastAsia" w:ascii="宋体" w:hAnsi="宋体"/>
          <w:color w:val="0D0D0D"/>
          <w:kern w:val="2"/>
          <w:sz w:val="24"/>
          <w:szCs w:val="24"/>
        </w:rPr>
      </w:pPr>
      <w:r>
        <w:rPr>
          <w:rFonts w:hint="eastAsia" w:ascii="宋体" w:hAnsi="宋体"/>
          <w:color w:val="0D0D0D"/>
          <w:kern w:val="2"/>
          <w:sz w:val="24"/>
          <w:szCs w:val="24"/>
        </w:rPr>
        <w:t>报价应当包括不含税价、适用税率、税额和含税总价。</w:t>
      </w:r>
    </w:p>
    <w:p w14:paraId="4E7A8DE4">
      <w:pPr>
        <w:spacing w:before="120" w:after="120"/>
        <w:ind w:firstLine="480" w:firstLineChars="200"/>
        <w:rPr>
          <w:rFonts w:hint="eastAsia" w:ascii="宋体" w:hAnsi="宋体"/>
          <w:color w:val="0D0D0D"/>
          <w:kern w:val="2"/>
          <w:sz w:val="24"/>
          <w:szCs w:val="24"/>
        </w:rPr>
      </w:pPr>
      <w:r>
        <w:rPr>
          <w:rFonts w:hint="eastAsia" w:ascii="宋体" w:hAnsi="宋体"/>
          <w:color w:val="0D0D0D"/>
          <w:kern w:val="2"/>
          <w:sz w:val="24"/>
          <w:szCs w:val="24"/>
        </w:rPr>
        <w:t>如投标人同时提供多种货物和服务，且相关标的适用不同增值税税率的，应将标的按照不同税率划分成不同的项分别报价，并说明各自对应的税率和投标人可以开具发票的类型。</w:t>
      </w:r>
    </w:p>
    <w:p w14:paraId="4EA24024">
      <w:pPr>
        <w:spacing w:before="120" w:after="120"/>
        <w:ind w:firstLine="480" w:firstLineChars="200"/>
        <w:rPr>
          <w:rFonts w:ascii="宋体"/>
          <w:sz w:val="24"/>
        </w:rPr>
      </w:pPr>
      <w:r>
        <w:rPr>
          <w:rFonts w:hint="eastAsia" w:ascii="宋体" w:hAnsi="宋体"/>
          <w:color w:val="0D0D0D"/>
          <w:sz w:val="24"/>
        </w:rPr>
        <w:t>如投标人在投标时承诺开具一定税率的增值税专用发票，投标人在要求招标人支付价款时，应提供相应税率的增值税专用发票。如不能提供增值税专用发票，则采购对应的进项税额由投标人承担；如提供的专用</w:t>
      </w:r>
      <w:r>
        <w:rPr>
          <w:rFonts w:ascii="宋体" w:hAnsi="宋体"/>
          <w:color w:val="0D0D0D"/>
          <w:sz w:val="24"/>
        </w:rPr>
        <w:t>发票</w:t>
      </w:r>
      <w:r>
        <w:rPr>
          <w:rFonts w:hint="eastAsia" w:ascii="宋体" w:hAnsi="宋体"/>
          <w:color w:val="0D0D0D"/>
          <w:sz w:val="24"/>
        </w:rPr>
        <w:t>票面税率与承诺不一致，则差额由投标人承担</w:t>
      </w:r>
      <w:r>
        <w:rPr>
          <w:rFonts w:hint="eastAsia" w:ascii="宋体"/>
          <w:sz w:val="24"/>
        </w:rPr>
        <w:t>。</w:t>
      </w:r>
    </w:p>
    <w:p w14:paraId="41837687">
      <w:pPr>
        <w:spacing w:before="120" w:after="120"/>
        <w:ind w:firstLine="480" w:firstLineChars="200"/>
        <w:rPr>
          <w:rFonts w:ascii="宋体"/>
          <w:sz w:val="24"/>
        </w:rPr>
      </w:pPr>
    </w:p>
    <w:p w14:paraId="6B66DD86">
      <w:pPr>
        <w:sectPr>
          <w:pgSz w:w="11906" w:h="16838"/>
          <w:pgMar w:top="1440" w:right="1797" w:bottom="1440" w:left="1797" w:header="851" w:footer="907" w:gutter="0"/>
          <w:cols w:space="425" w:num="1"/>
          <w:docGrid w:type="lines" w:linePitch="312" w:charSpace="0"/>
        </w:sectPr>
      </w:pPr>
      <w:bookmarkStart w:id="198" w:name="_Toc57518352"/>
      <w:bookmarkStart w:id="199" w:name="_Toc523196850"/>
      <w:bookmarkStart w:id="200" w:name="_Toc57478065"/>
      <w:bookmarkStart w:id="201" w:name="_Toc57518409"/>
      <w:bookmarkStart w:id="202" w:name="_Toc509024875"/>
      <w:bookmarkStart w:id="203" w:name="_Toc509025074"/>
      <w:bookmarkStart w:id="204" w:name="_Toc23480004"/>
      <w:bookmarkStart w:id="205" w:name="_Toc212001964"/>
      <w:bookmarkStart w:id="206" w:name="_Toc57518164"/>
    </w:p>
    <w:p w14:paraId="644D5EA1">
      <w:pPr>
        <w:pStyle w:val="2"/>
        <w:jc w:val="center"/>
        <w:rPr>
          <w:color w:val="000000"/>
          <w:sz w:val="32"/>
        </w:rPr>
      </w:pPr>
      <w:bookmarkStart w:id="207" w:name="_Toc184805405"/>
      <w:bookmarkStart w:id="208" w:name="_Toc29413"/>
      <w:r>
        <w:rPr>
          <w:rFonts w:hint="eastAsia"/>
          <w:color w:val="000000"/>
          <w:sz w:val="32"/>
        </w:rPr>
        <w:t>第四部分  附件</w:t>
      </w:r>
      <w:bookmarkEnd w:id="198"/>
      <w:bookmarkEnd w:id="199"/>
      <w:bookmarkEnd w:id="200"/>
      <w:bookmarkEnd w:id="201"/>
      <w:bookmarkEnd w:id="202"/>
      <w:bookmarkEnd w:id="203"/>
      <w:bookmarkEnd w:id="204"/>
      <w:bookmarkEnd w:id="205"/>
      <w:bookmarkEnd w:id="206"/>
      <w:bookmarkEnd w:id="207"/>
      <w:bookmarkEnd w:id="208"/>
    </w:p>
    <w:p w14:paraId="0734378F">
      <w:pPr>
        <w:pStyle w:val="3"/>
      </w:pPr>
      <w:bookmarkStart w:id="209" w:name="_Toc212001965"/>
      <w:bookmarkStart w:id="210" w:name="_Toc523196851"/>
      <w:bookmarkStart w:id="211" w:name="_Toc7537"/>
      <w:bookmarkStart w:id="212" w:name="_Toc184805406"/>
      <w:bookmarkStart w:id="213" w:name="_Toc57518410"/>
      <w:bookmarkStart w:id="214" w:name="_Toc23480005"/>
      <w:bookmarkStart w:id="215" w:name="_Toc57478066"/>
      <w:bookmarkStart w:id="216" w:name="_Toc509024876"/>
      <w:bookmarkStart w:id="217" w:name="_Toc509025075"/>
      <w:bookmarkStart w:id="218" w:name="_Toc57518165"/>
      <w:bookmarkStart w:id="219" w:name="_Toc57518353"/>
      <w:r>
        <w:rPr>
          <w:rFonts w:hint="eastAsia"/>
        </w:rPr>
        <w:t>附件1：投标书格式</w:t>
      </w:r>
      <w:bookmarkEnd w:id="209"/>
      <w:bookmarkEnd w:id="210"/>
      <w:bookmarkEnd w:id="211"/>
      <w:bookmarkEnd w:id="212"/>
      <w:bookmarkEnd w:id="213"/>
      <w:bookmarkEnd w:id="214"/>
      <w:bookmarkEnd w:id="215"/>
      <w:bookmarkEnd w:id="216"/>
      <w:bookmarkEnd w:id="217"/>
      <w:bookmarkEnd w:id="218"/>
      <w:bookmarkEnd w:id="219"/>
    </w:p>
    <w:p w14:paraId="79442018">
      <w:pPr>
        <w:spacing w:line="360" w:lineRule="auto"/>
        <w:jc w:val="center"/>
        <w:rPr>
          <w:rFonts w:hint="eastAsia" w:ascii="宋体" w:eastAsia="宋体"/>
          <w:b/>
          <w:color w:val="000000"/>
          <w:spacing w:val="20"/>
          <w:sz w:val="28"/>
          <w:lang w:eastAsia="zh-CN"/>
        </w:rPr>
      </w:pPr>
      <w:r>
        <w:rPr>
          <w:rFonts w:hint="eastAsia" w:ascii="宋体"/>
          <w:b/>
          <w:color w:val="000000"/>
          <w:spacing w:val="20"/>
          <w:sz w:val="28"/>
          <w:lang w:eastAsia="zh-CN"/>
        </w:rPr>
        <w:t>国盛期货有限责任公司</w:t>
      </w:r>
    </w:p>
    <w:p w14:paraId="45902CEF">
      <w:pPr>
        <w:spacing w:line="360" w:lineRule="auto"/>
        <w:jc w:val="center"/>
        <w:rPr>
          <w:rFonts w:ascii="宋体"/>
          <w:b/>
          <w:color w:val="000000"/>
          <w:spacing w:val="20"/>
          <w:sz w:val="28"/>
        </w:rPr>
      </w:pPr>
      <w:r>
        <w:rPr>
          <w:rFonts w:hint="eastAsia" w:ascii="宋体"/>
          <w:b/>
          <w:color w:val="000000"/>
          <w:spacing w:val="20"/>
          <w:sz w:val="28"/>
          <w:lang w:eastAsia="zh-CN"/>
        </w:rPr>
        <w:t>国盛期货</w:t>
      </w:r>
      <w:r>
        <w:rPr>
          <w:rFonts w:hint="eastAsia" w:ascii="宋体"/>
          <w:b/>
          <w:color w:val="000000"/>
          <w:spacing w:val="20"/>
          <w:sz w:val="28"/>
        </w:rPr>
        <w:t>国盛期货</w:t>
      </w:r>
      <w:r>
        <w:rPr>
          <w:rFonts w:hint="eastAsia" w:ascii="宋体"/>
          <w:b/>
          <w:color w:val="000000"/>
          <w:spacing w:val="20"/>
          <w:sz w:val="28"/>
          <w:lang w:eastAsia="zh-CN"/>
        </w:rPr>
        <w:t>机柜维护服务框架</w:t>
      </w:r>
      <w:r>
        <w:rPr>
          <w:rFonts w:hint="eastAsia" w:ascii="宋体"/>
          <w:b/>
          <w:color w:val="000000"/>
          <w:spacing w:val="20"/>
          <w:sz w:val="28"/>
          <w:lang w:val="en-US" w:eastAsia="zh-CN"/>
        </w:rPr>
        <w:t>采购项目</w:t>
      </w:r>
      <w:r>
        <w:rPr>
          <w:rFonts w:hint="eastAsia" w:ascii="宋体"/>
          <w:b/>
          <w:color w:val="000000"/>
          <w:spacing w:val="20"/>
          <w:sz w:val="28"/>
        </w:rPr>
        <w:t>投标书</w:t>
      </w:r>
    </w:p>
    <w:p w14:paraId="47189C2C">
      <w:pPr>
        <w:spacing w:line="360" w:lineRule="auto"/>
        <w:jc w:val="center"/>
        <w:rPr>
          <w:rFonts w:ascii="宋体"/>
          <w:color w:val="000000"/>
          <w:sz w:val="28"/>
        </w:rPr>
      </w:pPr>
    </w:p>
    <w:p w14:paraId="162C2B8A">
      <w:pPr>
        <w:spacing w:line="360" w:lineRule="auto"/>
        <w:rPr>
          <w:rFonts w:ascii="宋体"/>
          <w:color w:val="000000"/>
        </w:rPr>
      </w:pPr>
    </w:p>
    <w:p w14:paraId="378F01A9">
      <w:pPr>
        <w:spacing w:line="360" w:lineRule="auto"/>
        <w:rPr>
          <w:rFonts w:hint="eastAsia" w:ascii="宋体" w:hAnsi="宋体" w:eastAsia="宋体"/>
          <w:color w:val="000000"/>
          <w:sz w:val="24"/>
          <w:lang w:eastAsia="zh-CN"/>
        </w:rPr>
      </w:pPr>
      <w:r>
        <w:rPr>
          <w:rFonts w:hint="eastAsia" w:ascii="宋体" w:hAnsi="宋体"/>
          <w:color w:val="000000"/>
          <w:sz w:val="24"/>
        </w:rPr>
        <w:t>招标单位名称：</w:t>
      </w:r>
      <w:r>
        <w:rPr>
          <w:rFonts w:hint="eastAsia" w:ascii="宋体" w:hAnsi="宋体"/>
          <w:color w:val="000000"/>
          <w:sz w:val="24"/>
          <w:lang w:eastAsia="zh-CN"/>
        </w:rPr>
        <w:t>国盛期货有限责任公司</w:t>
      </w:r>
    </w:p>
    <w:p w14:paraId="043F708A">
      <w:pPr>
        <w:pStyle w:val="17"/>
        <w:spacing w:line="360" w:lineRule="auto"/>
        <w:rPr>
          <w:rFonts w:hint="eastAsia" w:ascii="宋体" w:hAnsi="宋体"/>
          <w:color w:val="000000"/>
          <w:sz w:val="24"/>
          <w:szCs w:val="24"/>
        </w:rPr>
      </w:pPr>
    </w:p>
    <w:p w14:paraId="10CCFDD5">
      <w:pPr>
        <w:spacing w:line="360" w:lineRule="auto"/>
        <w:rPr>
          <w:rFonts w:hint="eastAsia" w:ascii="宋体" w:hAnsi="宋体"/>
          <w:b/>
          <w:bCs/>
          <w:color w:val="000000"/>
          <w:sz w:val="24"/>
        </w:rPr>
      </w:pPr>
      <w:r>
        <w:rPr>
          <w:rFonts w:hint="eastAsia" w:ascii="宋体" w:hAnsi="宋体"/>
          <w:color w:val="000000"/>
          <w:sz w:val="24"/>
        </w:rPr>
        <w:t>招标名称：</w:t>
      </w:r>
      <w:r>
        <w:rPr>
          <w:rFonts w:hint="eastAsia" w:ascii="宋体"/>
          <w:sz w:val="24"/>
        </w:rPr>
        <w:t>国盛期货</w:t>
      </w:r>
      <w:r>
        <w:rPr>
          <w:rFonts w:hint="eastAsia" w:ascii="宋体"/>
          <w:sz w:val="24"/>
          <w:lang w:eastAsia="zh-CN"/>
        </w:rPr>
        <w:t>机柜维护服务框架</w:t>
      </w:r>
      <w:r>
        <w:rPr>
          <w:rFonts w:hint="eastAsia" w:ascii="宋体"/>
          <w:sz w:val="24"/>
          <w:lang w:val="en-US" w:eastAsia="zh-CN"/>
        </w:rPr>
        <w:t>采购项目</w:t>
      </w:r>
      <w:r>
        <w:rPr>
          <w:rFonts w:hint="eastAsia" w:ascii="宋体" w:hAnsi="宋体"/>
          <w:b/>
          <w:bCs/>
          <w:color w:val="000000"/>
          <w:sz w:val="24"/>
        </w:rPr>
        <w:t xml:space="preserve"> </w:t>
      </w:r>
    </w:p>
    <w:p w14:paraId="2332817D">
      <w:pPr>
        <w:spacing w:line="360" w:lineRule="auto"/>
        <w:rPr>
          <w:rFonts w:hint="eastAsia" w:ascii="宋体" w:hAnsi="宋体"/>
          <w:color w:val="000000"/>
          <w:sz w:val="24"/>
        </w:rPr>
      </w:pPr>
    </w:p>
    <w:p w14:paraId="639E5939">
      <w:pPr>
        <w:spacing w:before="120" w:after="120"/>
        <w:rPr>
          <w:rFonts w:hint="eastAsia" w:ascii="宋体" w:hAnsi="宋体"/>
          <w:kern w:val="2"/>
          <w:sz w:val="24"/>
          <w:szCs w:val="24"/>
        </w:rPr>
      </w:pPr>
      <w:r>
        <w:rPr>
          <w:rFonts w:hint="eastAsia" w:ascii="宋体" w:hAnsi="宋体"/>
          <w:kern w:val="2"/>
          <w:sz w:val="24"/>
          <w:szCs w:val="24"/>
        </w:rPr>
        <w:t>招标文件编号：</w:t>
      </w:r>
      <w:r>
        <w:rPr>
          <w:rFonts w:hint="eastAsia" w:ascii="宋体" w:hAnsi="宋体"/>
          <w:b/>
          <w:bCs/>
          <w:sz w:val="24"/>
        </w:rPr>
        <w:t xml:space="preserve"> </w:t>
      </w:r>
      <w:r>
        <w:rPr>
          <w:rFonts w:hint="eastAsia" w:ascii="宋体"/>
          <w:sz w:val="24"/>
        </w:rPr>
        <w:t>GSQH-XXJSZX-2026-001号</w:t>
      </w:r>
    </w:p>
    <w:p w14:paraId="4CD1BE1E">
      <w:pPr>
        <w:pStyle w:val="17"/>
        <w:spacing w:line="360" w:lineRule="auto"/>
        <w:rPr>
          <w:rFonts w:hint="eastAsia" w:ascii="宋体" w:hAnsi="宋体"/>
          <w:color w:val="000000"/>
          <w:sz w:val="24"/>
          <w:szCs w:val="24"/>
        </w:rPr>
      </w:pPr>
    </w:p>
    <w:p w14:paraId="257759A5">
      <w:pPr>
        <w:spacing w:line="360" w:lineRule="auto"/>
        <w:rPr>
          <w:rFonts w:hint="eastAsia" w:ascii="宋体" w:hAnsi="宋体"/>
          <w:color w:val="000000"/>
          <w:sz w:val="24"/>
        </w:rPr>
      </w:pPr>
    </w:p>
    <w:p w14:paraId="6EB6D320">
      <w:pPr>
        <w:spacing w:line="360" w:lineRule="auto"/>
        <w:rPr>
          <w:rFonts w:hint="eastAsia" w:ascii="宋体" w:hAnsi="宋体"/>
          <w:color w:val="000000"/>
          <w:sz w:val="24"/>
        </w:rPr>
      </w:pPr>
    </w:p>
    <w:p w14:paraId="76CE57B3">
      <w:pPr>
        <w:spacing w:line="360" w:lineRule="auto"/>
        <w:rPr>
          <w:rFonts w:hint="eastAsia" w:ascii="宋体" w:hAnsi="宋体"/>
          <w:color w:val="000000"/>
          <w:sz w:val="24"/>
        </w:rPr>
      </w:pPr>
    </w:p>
    <w:p w14:paraId="65076F94">
      <w:pPr>
        <w:spacing w:line="360" w:lineRule="auto"/>
        <w:rPr>
          <w:rFonts w:hint="eastAsia" w:ascii="宋体" w:hAnsi="宋体"/>
          <w:color w:val="000000"/>
          <w:sz w:val="24"/>
        </w:rPr>
      </w:pPr>
    </w:p>
    <w:p w14:paraId="69505CDA">
      <w:pPr>
        <w:spacing w:line="360" w:lineRule="auto"/>
        <w:rPr>
          <w:rFonts w:hint="eastAsia" w:ascii="宋体" w:hAnsi="宋体"/>
          <w:color w:val="000000"/>
          <w:sz w:val="24"/>
        </w:rPr>
      </w:pPr>
    </w:p>
    <w:p w14:paraId="4B06FA1A">
      <w:pPr>
        <w:spacing w:line="360" w:lineRule="auto"/>
        <w:jc w:val="center"/>
        <w:rPr>
          <w:rFonts w:hint="eastAsia" w:ascii="宋体" w:hAnsi="宋体"/>
          <w:color w:val="000000"/>
          <w:kern w:val="2"/>
          <w:sz w:val="24"/>
          <w:szCs w:val="24"/>
        </w:rPr>
      </w:pPr>
      <w:r>
        <w:rPr>
          <w:rFonts w:hint="eastAsia" w:ascii="宋体" w:hAnsi="宋体"/>
          <w:color w:val="000000"/>
          <w:kern w:val="2"/>
          <w:sz w:val="24"/>
          <w:szCs w:val="24"/>
        </w:rPr>
        <w:t>投标</w:t>
      </w:r>
      <w:r>
        <w:rPr>
          <w:rFonts w:hint="eastAsia" w:ascii="宋体" w:hAnsi="宋体"/>
          <w:kern w:val="2"/>
          <w:sz w:val="24"/>
          <w:szCs w:val="24"/>
        </w:rPr>
        <w:t>人</w:t>
      </w:r>
      <w:r>
        <w:rPr>
          <w:rFonts w:hint="eastAsia" w:ascii="宋体" w:hAnsi="宋体"/>
          <w:color w:val="000000"/>
          <w:kern w:val="2"/>
          <w:sz w:val="24"/>
          <w:szCs w:val="24"/>
        </w:rPr>
        <w:t>名称</w:t>
      </w:r>
    </w:p>
    <w:p w14:paraId="65B5884A">
      <w:pPr>
        <w:spacing w:line="360" w:lineRule="auto"/>
        <w:ind w:firstLine="2976" w:firstLineChars="1240"/>
        <w:jc w:val="center"/>
        <w:rPr>
          <w:rFonts w:hint="eastAsia" w:ascii="宋体" w:hAnsi="宋体"/>
          <w:color w:val="000000"/>
          <w:sz w:val="24"/>
        </w:rPr>
      </w:pPr>
    </w:p>
    <w:p w14:paraId="003A7EB7">
      <w:pPr>
        <w:jc w:val="center"/>
        <w:rPr>
          <w:rFonts w:ascii="宋体"/>
          <w:color w:val="000000"/>
        </w:rPr>
      </w:pPr>
      <w:r>
        <w:rPr>
          <w:rFonts w:hint="eastAsia" w:ascii="宋体" w:hAnsi="宋体"/>
          <w:color w:val="000000"/>
          <w:sz w:val="24"/>
        </w:rPr>
        <w:t xml:space="preserve">       年    月    日</w:t>
      </w:r>
    </w:p>
    <w:p w14:paraId="5F1BE14F">
      <w:pPr>
        <w:spacing w:line="360" w:lineRule="auto"/>
        <w:rPr>
          <w:rFonts w:ascii="宋体"/>
          <w:color w:val="000000"/>
        </w:rPr>
      </w:pPr>
    </w:p>
    <w:p w14:paraId="4B9F81B2">
      <w:pPr>
        <w:spacing w:line="360" w:lineRule="auto"/>
        <w:rPr>
          <w:rFonts w:ascii="宋体"/>
          <w:color w:val="000000"/>
        </w:rPr>
        <w:sectPr>
          <w:pgSz w:w="11906" w:h="16838"/>
          <w:pgMar w:top="1440" w:right="1797" w:bottom="1440" w:left="1797" w:header="851" w:footer="907" w:gutter="0"/>
          <w:cols w:space="425" w:num="1"/>
          <w:docGrid w:type="lines" w:linePitch="312" w:charSpace="0"/>
        </w:sectPr>
      </w:pPr>
    </w:p>
    <w:p w14:paraId="413F6467">
      <w:pPr>
        <w:spacing w:line="360" w:lineRule="auto"/>
        <w:jc w:val="center"/>
        <w:rPr>
          <w:rFonts w:ascii="黑体" w:eastAsia="黑体"/>
          <w:b/>
          <w:color w:val="000000"/>
          <w:sz w:val="28"/>
        </w:rPr>
      </w:pPr>
      <w:bookmarkStart w:id="220" w:name="_Toc134069399"/>
      <w:bookmarkStart w:id="221" w:name="_Toc134073464"/>
      <w:bookmarkStart w:id="222" w:name="_Toc166946363"/>
      <w:bookmarkStart w:id="223" w:name="_Toc212001966"/>
      <w:bookmarkStart w:id="224" w:name="_Toc134070512"/>
      <w:bookmarkStart w:id="225" w:name="_Toc134073486"/>
      <w:bookmarkStart w:id="226" w:name="_Toc167325402"/>
      <w:bookmarkStart w:id="227" w:name="_Toc167333934"/>
      <w:bookmarkStart w:id="228" w:name="_Toc211935622"/>
      <w:r>
        <w:rPr>
          <w:rFonts w:hint="eastAsia" w:ascii="黑体" w:eastAsia="黑体"/>
          <w:b/>
          <w:color w:val="000000"/>
          <w:sz w:val="28"/>
        </w:rPr>
        <w:t>投 标 书</w:t>
      </w:r>
    </w:p>
    <w:p w14:paraId="37FB9BFC">
      <w:pPr>
        <w:spacing w:before="120" w:after="120"/>
        <w:rPr>
          <w:rFonts w:hint="eastAsia" w:ascii="宋体" w:eastAsia="宋体"/>
          <w:b/>
          <w:color w:val="000000"/>
          <w:sz w:val="24"/>
          <w:lang w:eastAsia="zh-CN"/>
        </w:rPr>
      </w:pPr>
      <w:r>
        <w:rPr>
          <w:rFonts w:hint="eastAsia" w:ascii="宋体"/>
          <w:b/>
          <w:color w:val="000000"/>
          <w:sz w:val="24"/>
        </w:rPr>
        <w:t>致：</w:t>
      </w:r>
      <w:r>
        <w:rPr>
          <w:rFonts w:hint="eastAsia" w:ascii="宋体"/>
          <w:b/>
          <w:color w:val="000000"/>
          <w:sz w:val="24"/>
          <w:lang w:eastAsia="zh-CN"/>
        </w:rPr>
        <w:t>国盛期货有限责任公司</w:t>
      </w:r>
    </w:p>
    <w:p w14:paraId="4A9BE0D9">
      <w:pPr>
        <w:spacing w:before="120" w:after="120"/>
        <w:rPr>
          <w:rFonts w:ascii="宋体"/>
          <w:color w:val="000000"/>
          <w:sz w:val="24"/>
        </w:rPr>
      </w:pPr>
    </w:p>
    <w:p w14:paraId="590DB78D">
      <w:pPr>
        <w:spacing w:line="360" w:lineRule="auto"/>
        <w:ind w:firstLine="480" w:firstLineChars="200"/>
        <w:rPr>
          <w:rFonts w:ascii="宋体"/>
          <w:color w:val="000000"/>
          <w:sz w:val="24"/>
        </w:rPr>
      </w:pPr>
      <w:r>
        <w:rPr>
          <w:rFonts w:hint="eastAsia" w:ascii="宋体"/>
          <w:color w:val="000000"/>
          <w:sz w:val="24"/>
        </w:rPr>
        <w:t>我方收到</w:t>
      </w:r>
      <w:r>
        <w:rPr>
          <w:rFonts w:hint="eastAsia" w:ascii="宋体"/>
          <w:b/>
          <w:color w:val="000000"/>
          <w:sz w:val="24"/>
          <w:lang w:eastAsia="zh-CN"/>
        </w:rPr>
        <w:t>国盛期货有限责任公司</w:t>
      </w:r>
      <w:r>
        <w:rPr>
          <w:rFonts w:hint="eastAsia" w:ascii="宋体" w:hAnsi="宋体" w:cs="Courier New"/>
          <w:b/>
          <w:color w:val="000000"/>
          <w:sz w:val="24"/>
          <w:u w:val="single"/>
        </w:rPr>
        <w:t>国盛期货</w:t>
      </w:r>
      <w:r>
        <w:rPr>
          <w:rFonts w:hint="eastAsia" w:ascii="宋体" w:hAnsi="宋体" w:cs="Courier New"/>
          <w:b/>
          <w:color w:val="000000"/>
          <w:sz w:val="24"/>
          <w:u w:val="single"/>
          <w:lang w:eastAsia="zh-CN"/>
        </w:rPr>
        <w:t>机柜维护服务框架</w:t>
      </w:r>
      <w:r>
        <w:rPr>
          <w:rFonts w:hint="eastAsia" w:ascii="宋体" w:hAnsi="宋体" w:cs="Courier New"/>
          <w:b/>
          <w:color w:val="000000"/>
          <w:sz w:val="24"/>
          <w:u w:val="single"/>
          <w:lang w:val="en-US" w:eastAsia="zh-CN"/>
        </w:rPr>
        <w:t>采购项目</w:t>
      </w:r>
      <w:r>
        <w:rPr>
          <w:rFonts w:hint="eastAsia" w:ascii="宋体"/>
          <w:sz w:val="24"/>
        </w:rPr>
        <w:t>（</w:t>
      </w:r>
      <w:r>
        <w:rPr>
          <w:rFonts w:hint="eastAsia" w:ascii="宋体"/>
          <w:sz w:val="24"/>
          <w:lang w:val="en-US" w:eastAsia="zh-CN"/>
        </w:rPr>
        <w:t>GS</w:t>
      </w:r>
      <w:r>
        <w:rPr>
          <w:rFonts w:ascii="宋体"/>
          <w:sz w:val="24"/>
        </w:rPr>
        <w:t>QH-</w:t>
      </w:r>
      <w:r>
        <w:rPr>
          <w:rFonts w:hint="eastAsia" w:ascii="宋体"/>
          <w:sz w:val="24"/>
          <w:lang w:val="en-US" w:eastAsia="zh-CN"/>
        </w:rPr>
        <w:t>XXJSZX</w:t>
      </w:r>
      <w:r>
        <w:rPr>
          <w:rFonts w:ascii="宋体"/>
          <w:sz w:val="24"/>
        </w:rPr>
        <w:t>-20</w:t>
      </w:r>
      <w:r>
        <w:rPr>
          <w:rFonts w:hint="eastAsia" w:ascii="宋体"/>
          <w:sz w:val="24"/>
          <w:lang w:val="en-US" w:eastAsia="zh-CN"/>
        </w:rPr>
        <w:t>26</w:t>
      </w:r>
      <w:r>
        <w:rPr>
          <w:rFonts w:ascii="宋体"/>
          <w:sz w:val="24"/>
        </w:rPr>
        <w:t>-</w:t>
      </w:r>
      <w:r>
        <w:rPr>
          <w:rFonts w:hint="eastAsia" w:ascii="宋体"/>
          <w:sz w:val="24"/>
          <w:lang w:val="en-US" w:eastAsia="zh-CN"/>
        </w:rPr>
        <w:t>001</w:t>
      </w:r>
      <w:r>
        <w:rPr>
          <w:rFonts w:hint="eastAsia" w:ascii="宋体"/>
          <w:sz w:val="24"/>
        </w:rPr>
        <w:t>）</w:t>
      </w:r>
      <w:r>
        <w:rPr>
          <w:rFonts w:hint="eastAsia" w:ascii="宋体" w:hAnsi="宋体"/>
          <w:color w:val="000000"/>
          <w:sz w:val="24"/>
        </w:rPr>
        <w:t>的招标文件，经详细研究，愿意参加投标，并授权签字人</w:t>
      </w:r>
      <w:r>
        <w:rPr>
          <w:rFonts w:hint="eastAsia" w:ascii="宋体" w:hAnsi="宋体"/>
          <w:color w:val="000000"/>
          <w:sz w:val="24"/>
          <w:u w:val="single"/>
        </w:rPr>
        <w:t xml:space="preserve">  （姓名）  </w:t>
      </w:r>
      <w:r>
        <w:rPr>
          <w:rFonts w:hint="eastAsia" w:ascii="宋体" w:hAnsi="宋体"/>
          <w:color w:val="000000"/>
          <w:sz w:val="24"/>
        </w:rPr>
        <w:t>全权代表我投标单位提交投标文件正本一份、副本一份和电子文档一份</w:t>
      </w:r>
      <w:r>
        <w:rPr>
          <w:rFonts w:hint="eastAsia" w:ascii="宋体"/>
          <w:color w:val="000000"/>
          <w:sz w:val="24"/>
        </w:rPr>
        <w:t>（</w:t>
      </w:r>
      <w:r>
        <w:rPr>
          <w:rFonts w:ascii="宋体"/>
          <w:color w:val="000000"/>
          <w:sz w:val="24"/>
        </w:rPr>
        <w:t>Word</w:t>
      </w:r>
      <w:r>
        <w:rPr>
          <w:rFonts w:hint="eastAsia" w:ascii="宋体"/>
          <w:color w:val="000000"/>
          <w:sz w:val="24"/>
        </w:rPr>
        <w:t>和</w:t>
      </w:r>
      <w:r>
        <w:rPr>
          <w:rFonts w:ascii="宋体"/>
          <w:color w:val="000000"/>
          <w:sz w:val="24"/>
        </w:rPr>
        <w:t>PDF</w:t>
      </w:r>
      <w:r>
        <w:rPr>
          <w:rFonts w:hint="eastAsia" w:ascii="宋体"/>
          <w:color w:val="000000"/>
          <w:sz w:val="24"/>
        </w:rPr>
        <w:t>）</w:t>
      </w:r>
      <w:r>
        <w:rPr>
          <w:rFonts w:hint="eastAsia" w:ascii="宋体"/>
          <w:color w:val="0D0D0D"/>
          <w:sz w:val="24"/>
        </w:rPr>
        <w:t>。</w:t>
      </w:r>
    </w:p>
    <w:p w14:paraId="7E478A70">
      <w:pPr>
        <w:spacing w:before="120" w:after="120"/>
        <w:ind w:firstLine="480" w:firstLineChars="200"/>
        <w:rPr>
          <w:rFonts w:ascii="宋体"/>
          <w:sz w:val="24"/>
        </w:rPr>
      </w:pPr>
      <w:r>
        <w:rPr>
          <w:rFonts w:hint="eastAsia" w:ascii="宋体"/>
          <w:sz w:val="24"/>
        </w:rPr>
        <w:t>我方承诺：</w:t>
      </w:r>
    </w:p>
    <w:p w14:paraId="1996F24F">
      <w:pPr>
        <w:pStyle w:val="35"/>
        <w:numPr>
          <w:ilvl w:val="0"/>
          <w:numId w:val="6"/>
        </w:numPr>
        <w:spacing w:before="120" w:after="120" w:line="240" w:lineRule="auto"/>
        <w:ind w:left="908" w:firstLineChars="0"/>
        <w:rPr>
          <w:sz w:val="24"/>
          <w:szCs w:val="24"/>
        </w:rPr>
      </w:pPr>
      <w:r>
        <w:rPr>
          <w:rFonts w:hint="eastAsia" w:ascii="宋体" w:hAnsi="宋体"/>
          <w:sz w:val="24"/>
        </w:rPr>
        <w:t>承认和愿意按照招标文件的各项规定和要求，提供本招标范围内的产品、实施及服务，投标总价为人民币</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元（大写人民币</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元）</w:t>
      </w:r>
      <w:r>
        <w:rPr>
          <w:rFonts w:hint="eastAsia"/>
          <w:sz w:val="24"/>
          <w:szCs w:val="24"/>
        </w:rPr>
        <w:t>；</w:t>
      </w:r>
    </w:p>
    <w:p w14:paraId="4EDA91D9">
      <w:pPr>
        <w:pStyle w:val="35"/>
        <w:numPr>
          <w:ilvl w:val="0"/>
          <w:numId w:val="6"/>
        </w:numPr>
        <w:spacing w:before="120" w:after="120" w:line="240" w:lineRule="auto"/>
        <w:ind w:left="908" w:firstLineChars="0"/>
        <w:rPr>
          <w:sz w:val="24"/>
          <w:szCs w:val="24"/>
        </w:rPr>
      </w:pPr>
      <w:r>
        <w:rPr>
          <w:rFonts w:hint="eastAsia"/>
          <w:sz w:val="24"/>
          <w:szCs w:val="24"/>
        </w:rPr>
        <w:t>愿意依据中华人民共和国法律履行自己的责任和义务；</w:t>
      </w:r>
    </w:p>
    <w:p w14:paraId="321A00CF">
      <w:pPr>
        <w:pStyle w:val="35"/>
        <w:numPr>
          <w:ilvl w:val="0"/>
          <w:numId w:val="6"/>
        </w:numPr>
        <w:spacing w:before="120" w:after="120" w:line="240" w:lineRule="auto"/>
        <w:ind w:left="908" w:firstLineChars="0"/>
        <w:rPr>
          <w:sz w:val="24"/>
          <w:szCs w:val="24"/>
        </w:rPr>
      </w:pPr>
      <w:r>
        <w:rPr>
          <w:rFonts w:hint="eastAsia"/>
          <w:sz w:val="24"/>
          <w:szCs w:val="24"/>
        </w:rPr>
        <w:t>能够提供</w:t>
      </w:r>
      <w:r>
        <w:rPr>
          <w:rFonts w:hint="eastAsia" w:ascii="宋体" w:hAnsi="宋体"/>
          <w:bCs/>
          <w:sz w:val="24"/>
        </w:rPr>
        <w:t>招标</w:t>
      </w:r>
      <w:r>
        <w:rPr>
          <w:rFonts w:hint="eastAsia"/>
          <w:sz w:val="24"/>
          <w:szCs w:val="24"/>
        </w:rPr>
        <w:t>文件要求的所有资料；</w:t>
      </w:r>
    </w:p>
    <w:p w14:paraId="2A9DC9E9">
      <w:pPr>
        <w:pStyle w:val="35"/>
        <w:numPr>
          <w:ilvl w:val="0"/>
          <w:numId w:val="6"/>
        </w:numPr>
        <w:spacing w:before="120" w:after="120" w:line="240" w:lineRule="auto"/>
        <w:ind w:left="908" w:firstLineChars="0"/>
        <w:rPr>
          <w:sz w:val="24"/>
          <w:szCs w:val="24"/>
        </w:rPr>
      </w:pPr>
      <w:r>
        <w:rPr>
          <w:rFonts w:hint="eastAsia"/>
          <w:sz w:val="24"/>
          <w:szCs w:val="24"/>
        </w:rPr>
        <w:t>遵守</w:t>
      </w:r>
      <w:r>
        <w:rPr>
          <w:rFonts w:hint="eastAsia" w:ascii="宋体" w:hAnsi="宋体"/>
          <w:bCs/>
          <w:sz w:val="24"/>
        </w:rPr>
        <w:t>招标</w:t>
      </w:r>
      <w:r>
        <w:rPr>
          <w:rFonts w:hint="eastAsia"/>
          <w:sz w:val="24"/>
          <w:szCs w:val="24"/>
        </w:rPr>
        <w:t>文件规定的收费项目和标准。</w:t>
      </w:r>
    </w:p>
    <w:p w14:paraId="0257B8C7">
      <w:pPr>
        <w:spacing w:before="120" w:after="120"/>
        <w:ind w:firstLine="480" w:firstLineChars="200"/>
        <w:rPr>
          <w:rFonts w:ascii="宋体"/>
          <w:sz w:val="24"/>
        </w:rPr>
      </w:pPr>
    </w:p>
    <w:p w14:paraId="7A58688E">
      <w:pPr>
        <w:spacing w:before="120" w:after="120"/>
        <w:ind w:firstLine="420"/>
        <w:rPr>
          <w:rFonts w:hint="eastAsia" w:ascii="宋体" w:hAnsi="宋体"/>
          <w:kern w:val="2"/>
          <w:sz w:val="24"/>
          <w:szCs w:val="24"/>
        </w:rPr>
      </w:pPr>
      <w:r>
        <w:rPr>
          <w:rFonts w:hint="eastAsia" w:ascii="宋体" w:hAnsi="宋体"/>
          <w:kern w:val="2"/>
          <w:sz w:val="24"/>
          <w:szCs w:val="24"/>
        </w:rPr>
        <w:t>有关投标方的函电请按下列地址联系：</w:t>
      </w:r>
    </w:p>
    <w:p w14:paraId="2CB00D9F">
      <w:pPr>
        <w:spacing w:before="120" w:after="120"/>
        <w:ind w:firstLine="420"/>
        <w:rPr>
          <w:rFonts w:hint="eastAsia" w:ascii="宋体" w:hAnsi="宋体"/>
          <w:kern w:val="2"/>
          <w:sz w:val="24"/>
          <w:szCs w:val="24"/>
        </w:rPr>
      </w:pPr>
      <w:r>
        <w:rPr>
          <w:rFonts w:hint="eastAsia" w:ascii="宋体" w:hAnsi="宋体"/>
          <w:kern w:val="2"/>
          <w:sz w:val="24"/>
          <w:szCs w:val="24"/>
        </w:rPr>
        <w:t>单位名称：</w:t>
      </w:r>
    </w:p>
    <w:p w14:paraId="790744E1">
      <w:pPr>
        <w:spacing w:before="120" w:after="120"/>
        <w:ind w:firstLine="420"/>
        <w:rPr>
          <w:rFonts w:hint="eastAsia" w:ascii="宋体" w:hAnsi="宋体"/>
          <w:kern w:val="2"/>
          <w:sz w:val="24"/>
          <w:szCs w:val="24"/>
        </w:rPr>
      </w:pPr>
      <w:r>
        <w:rPr>
          <w:rFonts w:hint="eastAsia" w:ascii="宋体" w:hAnsi="宋体"/>
          <w:kern w:val="2"/>
          <w:sz w:val="24"/>
          <w:szCs w:val="24"/>
        </w:rPr>
        <w:t>地址：</w:t>
      </w:r>
    </w:p>
    <w:p w14:paraId="26EA6DD1">
      <w:pPr>
        <w:spacing w:before="120" w:after="120"/>
        <w:ind w:firstLine="420"/>
        <w:rPr>
          <w:rFonts w:hint="eastAsia" w:ascii="宋体" w:hAnsi="宋体"/>
          <w:kern w:val="2"/>
          <w:sz w:val="24"/>
          <w:szCs w:val="24"/>
        </w:rPr>
      </w:pPr>
      <w:r>
        <w:rPr>
          <w:rFonts w:hint="eastAsia" w:ascii="宋体" w:hAnsi="宋体"/>
          <w:kern w:val="2"/>
          <w:sz w:val="24"/>
          <w:szCs w:val="24"/>
        </w:rPr>
        <w:t>电话：                       联系人：</w:t>
      </w:r>
    </w:p>
    <w:p w14:paraId="0A83AAFE">
      <w:pPr>
        <w:spacing w:before="120" w:after="120"/>
        <w:ind w:firstLine="420"/>
        <w:rPr>
          <w:rFonts w:hint="eastAsia" w:ascii="宋体" w:hAnsi="宋体"/>
          <w:kern w:val="2"/>
          <w:sz w:val="24"/>
          <w:szCs w:val="24"/>
        </w:rPr>
      </w:pPr>
    </w:p>
    <w:p w14:paraId="7843915C">
      <w:pPr>
        <w:spacing w:before="120" w:after="120"/>
        <w:ind w:firstLine="420"/>
        <w:rPr>
          <w:rFonts w:hint="eastAsia" w:ascii="宋体" w:hAnsi="宋体"/>
          <w:kern w:val="2"/>
          <w:sz w:val="24"/>
          <w:szCs w:val="24"/>
        </w:rPr>
      </w:pPr>
    </w:p>
    <w:p w14:paraId="532C7460">
      <w:pPr>
        <w:spacing w:before="120" w:after="120"/>
        <w:ind w:firstLine="4678"/>
        <w:rPr>
          <w:rFonts w:hint="eastAsia" w:ascii="宋体" w:hAnsi="宋体"/>
          <w:kern w:val="2"/>
          <w:sz w:val="24"/>
          <w:szCs w:val="24"/>
        </w:rPr>
      </w:pPr>
      <w:r>
        <w:rPr>
          <w:rFonts w:hint="eastAsia" w:ascii="宋体" w:hAnsi="宋体"/>
          <w:kern w:val="2"/>
          <w:sz w:val="24"/>
          <w:szCs w:val="24"/>
        </w:rPr>
        <w:t>投标人： （公章）</w:t>
      </w:r>
    </w:p>
    <w:p w14:paraId="6B796DC0">
      <w:pPr>
        <w:spacing w:before="120" w:after="120"/>
        <w:ind w:firstLine="4678"/>
        <w:rPr>
          <w:rFonts w:hint="eastAsia" w:ascii="宋体" w:hAnsi="宋体"/>
          <w:kern w:val="2"/>
          <w:sz w:val="24"/>
          <w:szCs w:val="24"/>
        </w:rPr>
      </w:pPr>
    </w:p>
    <w:p w14:paraId="2C7447A7">
      <w:pPr>
        <w:spacing w:before="120" w:after="120"/>
        <w:ind w:firstLine="4678"/>
        <w:rPr>
          <w:rFonts w:hint="eastAsia" w:ascii="宋体" w:hAnsi="宋体"/>
          <w:kern w:val="2"/>
          <w:sz w:val="24"/>
          <w:szCs w:val="24"/>
        </w:rPr>
      </w:pPr>
      <w:r>
        <w:rPr>
          <w:rFonts w:hint="eastAsia" w:ascii="宋体" w:hAnsi="宋体"/>
          <w:kern w:val="2"/>
          <w:sz w:val="24"/>
          <w:szCs w:val="24"/>
        </w:rPr>
        <w:t>法定代表人：（签名或盖章）</w:t>
      </w:r>
    </w:p>
    <w:p w14:paraId="03ED9089">
      <w:pPr>
        <w:spacing w:before="120" w:after="120"/>
        <w:ind w:firstLine="4678"/>
        <w:rPr>
          <w:rFonts w:hint="eastAsia" w:ascii="宋体" w:hAnsi="宋体"/>
          <w:kern w:val="2"/>
          <w:sz w:val="24"/>
          <w:szCs w:val="24"/>
        </w:rPr>
      </w:pPr>
    </w:p>
    <w:p w14:paraId="4BCE9A75">
      <w:pPr>
        <w:spacing w:before="120" w:after="120"/>
        <w:ind w:firstLine="4678"/>
        <w:rPr>
          <w:rFonts w:hint="eastAsia" w:ascii="宋体" w:hAnsi="宋体"/>
          <w:kern w:val="2"/>
          <w:sz w:val="24"/>
          <w:szCs w:val="24"/>
        </w:rPr>
      </w:pPr>
      <w:r>
        <w:rPr>
          <w:rFonts w:hint="eastAsia" w:ascii="宋体" w:hAnsi="宋体"/>
          <w:kern w:val="2"/>
          <w:sz w:val="24"/>
          <w:szCs w:val="24"/>
        </w:rPr>
        <w:t>授权代表人：（签名或盖章）</w:t>
      </w:r>
    </w:p>
    <w:p w14:paraId="5008474E">
      <w:pPr>
        <w:spacing w:before="120" w:after="120"/>
        <w:ind w:left="8086" w:leftChars="2025" w:hanging="3833"/>
        <w:rPr>
          <w:rFonts w:ascii="宋体"/>
          <w:sz w:val="24"/>
        </w:rPr>
      </w:pPr>
    </w:p>
    <w:p w14:paraId="68A45C24">
      <w:pPr>
        <w:spacing w:before="120" w:after="120"/>
        <w:ind w:left="8083" w:leftChars="2367" w:hanging="3112" w:hangingChars="1297"/>
        <w:rPr>
          <w:rFonts w:ascii="宋体"/>
        </w:rPr>
      </w:pPr>
      <w:r>
        <w:rPr>
          <w:rFonts w:hint="eastAsia" w:ascii="宋体"/>
          <w:sz w:val="24"/>
        </w:rPr>
        <w:t>年   月   日</w:t>
      </w:r>
    </w:p>
    <w:p w14:paraId="046FC4FF">
      <w:pPr>
        <w:ind w:firstLine="420"/>
        <w:rPr>
          <w:rFonts w:ascii="宋体"/>
        </w:rPr>
      </w:pPr>
    </w:p>
    <w:p w14:paraId="4EE51E09">
      <w:pPr>
        <w:ind w:firstLine="420"/>
        <w:rPr>
          <w:rFonts w:ascii="宋体"/>
        </w:rPr>
        <w:sectPr>
          <w:pgSz w:w="11906" w:h="16838"/>
          <w:pgMar w:top="1440" w:right="1797" w:bottom="1440" w:left="1797" w:header="851" w:footer="907" w:gutter="0"/>
          <w:cols w:space="425" w:num="1"/>
          <w:docGrid w:type="lines" w:linePitch="312" w:charSpace="0"/>
        </w:sectPr>
      </w:pPr>
    </w:p>
    <w:bookmarkEnd w:id="220"/>
    <w:bookmarkEnd w:id="221"/>
    <w:bookmarkEnd w:id="222"/>
    <w:bookmarkEnd w:id="223"/>
    <w:bookmarkEnd w:id="224"/>
    <w:bookmarkEnd w:id="225"/>
    <w:bookmarkEnd w:id="226"/>
    <w:bookmarkEnd w:id="227"/>
    <w:bookmarkEnd w:id="228"/>
    <w:p w14:paraId="46BE3056">
      <w:pPr>
        <w:keepNext/>
        <w:keepLines/>
        <w:tabs>
          <w:tab w:val="left" w:pos="1440"/>
        </w:tabs>
        <w:spacing w:before="120" w:after="120"/>
        <w:outlineLvl w:val="1"/>
        <w:rPr>
          <w:rFonts w:hint="eastAsia" w:ascii="Arial" w:hAnsi="Arial" w:eastAsia="黑体"/>
          <w:bCs/>
          <w:kern w:val="2"/>
          <w:sz w:val="28"/>
          <w:szCs w:val="20"/>
          <w:highlight w:val="yellow"/>
          <w:lang w:val="en-US" w:eastAsia="zh-CN"/>
        </w:rPr>
      </w:pPr>
      <w:bookmarkStart w:id="229" w:name="_Toc133806117"/>
      <w:bookmarkEnd w:id="229"/>
      <w:bookmarkStart w:id="230" w:name="_Toc133809899"/>
      <w:bookmarkEnd w:id="230"/>
      <w:bookmarkStart w:id="231" w:name="_Toc86141710"/>
      <w:bookmarkStart w:id="232" w:name="_Toc16884"/>
      <w:bookmarkStart w:id="233" w:name="_Toc184805407"/>
      <w:bookmarkStart w:id="234" w:name="_Toc23480012"/>
      <w:bookmarkStart w:id="235" w:name="_Toc509025083"/>
      <w:bookmarkStart w:id="236" w:name="_Toc509024884"/>
      <w:bookmarkStart w:id="237" w:name="_Toc196794066"/>
      <w:bookmarkStart w:id="238" w:name="_Toc57518174"/>
      <w:bookmarkStart w:id="239" w:name="_Toc57518362"/>
      <w:bookmarkStart w:id="240" w:name="_Toc57518419"/>
      <w:bookmarkStart w:id="241" w:name="_Toc523196858"/>
      <w:bookmarkStart w:id="242" w:name="_Toc57478072"/>
      <w:r>
        <w:rPr>
          <w:rFonts w:hint="eastAsia" w:ascii="Arial" w:hAnsi="Arial" w:eastAsia="黑体"/>
          <w:bCs/>
          <w:kern w:val="2"/>
          <w:sz w:val="28"/>
          <w:szCs w:val="20"/>
          <w:highlight w:val="yellow"/>
        </w:rPr>
        <w:t>附件2：投标价格表</w:t>
      </w:r>
      <w:bookmarkEnd w:id="231"/>
      <w:bookmarkEnd w:id="232"/>
      <w:bookmarkEnd w:id="233"/>
      <w:r>
        <w:rPr>
          <w:rFonts w:hint="eastAsia" w:ascii="Arial" w:hAnsi="Arial" w:eastAsia="黑体"/>
          <w:bCs/>
          <w:kern w:val="2"/>
          <w:sz w:val="28"/>
          <w:szCs w:val="20"/>
          <w:highlight w:val="yellow"/>
          <w:lang w:val="en-US" w:eastAsia="zh-CN"/>
        </w:rPr>
        <w:t>举例</w:t>
      </w:r>
    </w:p>
    <w:p w14:paraId="095130C2">
      <w:pPr>
        <w:pStyle w:val="41"/>
        <w:numPr>
          <w:ilvl w:val="0"/>
          <w:numId w:val="12"/>
        </w:numPr>
        <w:spacing w:line="320" w:lineRule="exact"/>
        <w:ind w:firstLineChars="0"/>
        <w:jc w:val="left"/>
        <w:rPr>
          <w:b/>
          <w:color w:val="000000"/>
          <w:kern w:val="2"/>
          <w:sz w:val="24"/>
          <w:szCs w:val="24"/>
          <w:highlight w:val="none"/>
        </w:rPr>
      </w:pPr>
      <w:r>
        <w:rPr>
          <w:rFonts w:hint="eastAsia"/>
          <w:b/>
          <w:color w:val="000000"/>
          <w:kern w:val="2"/>
          <w:sz w:val="24"/>
          <w:szCs w:val="24"/>
          <w:highlight w:val="none"/>
        </w:rPr>
        <w:t>项目总报价表</w:t>
      </w:r>
    </w:p>
    <w:p w14:paraId="0AC829F8">
      <w:pPr>
        <w:spacing w:line="360" w:lineRule="exact"/>
        <w:rPr>
          <w:rFonts w:hint="eastAsia" w:ascii="宋体" w:hAnsi="宋体"/>
          <w:kern w:val="2"/>
          <w:sz w:val="24"/>
          <w:szCs w:val="24"/>
          <w:highlight w:val="none"/>
        </w:rPr>
      </w:pPr>
    </w:p>
    <w:tbl>
      <w:tblPr>
        <w:tblStyle w:val="27"/>
        <w:tblW w:w="14077" w:type="dxa"/>
        <w:jc w:val="center"/>
        <w:tblLayout w:type="autofit"/>
        <w:tblCellMar>
          <w:top w:w="0" w:type="dxa"/>
          <w:left w:w="108" w:type="dxa"/>
          <w:bottom w:w="0" w:type="dxa"/>
          <w:right w:w="108" w:type="dxa"/>
        </w:tblCellMar>
      </w:tblPr>
      <w:tblGrid>
        <w:gridCol w:w="639"/>
        <w:gridCol w:w="1960"/>
        <w:gridCol w:w="5305"/>
        <w:gridCol w:w="1358"/>
        <w:gridCol w:w="1022"/>
        <w:gridCol w:w="1273"/>
        <w:gridCol w:w="700"/>
        <w:gridCol w:w="806"/>
        <w:gridCol w:w="1014"/>
      </w:tblGrid>
      <w:tr w14:paraId="328EE974">
        <w:tblPrEx>
          <w:tblCellMar>
            <w:top w:w="0" w:type="dxa"/>
            <w:left w:w="108" w:type="dxa"/>
            <w:bottom w:w="0" w:type="dxa"/>
            <w:right w:w="108" w:type="dxa"/>
          </w:tblCellMar>
        </w:tblPrEx>
        <w:trPr>
          <w:trHeight w:val="34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3BFEB801">
            <w:pPr>
              <w:widowControl/>
              <w:spacing w:line="280" w:lineRule="exact"/>
              <w:jc w:val="center"/>
              <w:rPr>
                <w:rFonts w:hint="eastAsia" w:ascii="宋体" w:hAnsi="宋体" w:cs="宋体"/>
                <w:b/>
                <w:bCs/>
                <w:highlight w:val="none"/>
              </w:rPr>
            </w:pPr>
            <w:r>
              <w:rPr>
                <w:rFonts w:hint="eastAsia" w:ascii="宋体" w:hAnsi="宋体" w:cs="宋体"/>
                <w:b/>
                <w:bCs/>
                <w:highlight w:val="none"/>
              </w:rPr>
              <w:t>序号</w:t>
            </w:r>
          </w:p>
        </w:tc>
        <w:tc>
          <w:tcPr>
            <w:tcW w:w="1960" w:type="dxa"/>
            <w:tcBorders>
              <w:top w:val="single" w:color="auto" w:sz="4" w:space="0"/>
              <w:left w:val="single" w:color="auto" w:sz="4" w:space="0"/>
              <w:bottom w:val="single" w:color="auto" w:sz="4" w:space="0"/>
              <w:right w:val="single" w:color="auto" w:sz="4" w:space="0"/>
            </w:tcBorders>
            <w:vAlign w:val="center"/>
          </w:tcPr>
          <w:p w14:paraId="35E5DEF2">
            <w:pPr>
              <w:widowControl/>
              <w:spacing w:line="280" w:lineRule="exact"/>
              <w:jc w:val="center"/>
              <w:rPr>
                <w:rFonts w:hint="default" w:ascii="宋体" w:hAnsi="宋体" w:eastAsia="宋体" w:cs="宋体"/>
                <w:b/>
                <w:bCs/>
                <w:highlight w:val="none"/>
                <w:lang w:val="en-US" w:eastAsia="zh-CN"/>
              </w:rPr>
            </w:pPr>
            <w:r>
              <w:rPr>
                <w:rFonts w:hint="eastAsia" w:ascii="宋体" w:hAnsi="宋体" w:cs="宋体"/>
                <w:b/>
                <w:bCs/>
                <w:highlight w:val="none"/>
                <w:lang w:val="en-US" w:eastAsia="zh-CN"/>
              </w:rPr>
              <w:t>采购标的名称</w:t>
            </w:r>
          </w:p>
        </w:tc>
        <w:tc>
          <w:tcPr>
            <w:tcW w:w="5305" w:type="dxa"/>
            <w:tcBorders>
              <w:top w:val="single" w:color="auto" w:sz="4" w:space="0"/>
              <w:left w:val="single" w:color="auto" w:sz="4" w:space="0"/>
              <w:bottom w:val="single" w:color="auto" w:sz="4" w:space="0"/>
              <w:right w:val="single" w:color="auto" w:sz="4" w:space="0"/>
            </w:tcBorders>
            <w:vAlign w:val="center"/>
          </w:tcPr>
          <w:p w14:paraId="4EA6C8EC">
            <w:pPr>
              <w:widowControl/>
              <w:spacing w:line="280" w:lineRule="exact"/>
              <w:jc w:val="center"/>
              <w:rPr>
                <w:rFonts w:hint="eastAsia" w:ascii="宋体" w:hAnsi="宋体" w:cs="宋体"/>
                <w:b/>
                <w:bCs/>
                <w:highlight w:val="none"/>
              </w:rPr>
            </w:pPr>
            <w:r>
              <w:rPr>
                <w:rFonts w:hint="eastAsia" w:ascii="宋体" w:hAnsi="宋体" w:cs="宋体"/>
                <w:b/>
                <w:bCs/>
                <w:highlight w:val="none"/>
                <w:lang w:val="en-US" w:eastAsia="zh-CN"/>
              </w:rPr>
              <w:t>采购标的</w:t>
            </w:r>
            <w:r>
              <w:rPr>
                <w:rFonts w:hint="eastAsia" w:ascii="宋体" w:hAnsi="宋体" w:cs="宋体"/>
                <w:b/>
                <w:bCs/>
                <w:highlight w:val="none"/>
              </w:rPr>
              <w:t>配置描述</w:t>
            </w:r>
          </w:p>
        </w:tc>
        <w:tc>
          <w:tcPr>
            <w:tcW w:w="1358" w:type="dxa"/>
            <w:tcBorders>
              <w:top w:val="single" w:color="auto" w:sz="4" w:space="0"/>
              <w:left w:val="single" w:color="auto" w:sz="4" w:space="0"/>
              <w:bottom w:val="single" w:color="auto" w:sz="4" w:space="0"/>
              <w:right w:val="single" w:color="auto" w:sz="4" w:space="0"/>
            </w:tcBorders>
            <w:vAlign w:val="center"/>
          </w:tcPr>
          <w:p w14:paraId="6F76EBDC">
            <w:pPr>
              <w:widowControl/>
              <w:spacing w:line="280" w:lineRule="exact"/>
              <w:jc w:val="center"/>
              <w:rPr>
                <w:rFonts w:hint="eastAsia" w:ascii="宋体" w:hAnsi="宋体" w:cs="宋体"/>
                <w:b/>
                <w:bCs/>
                <w:highlight w:val="none"/>
              </w:rPr>
            </w:pPr>
            <w:r>
              <w:rPr>
                <w:rFonts w:hint="eastAsia" w:ascii="宋体" w:hAnsi="宋体" w:cs="Tahoma"/>
                <w:b/>
                <w:kern w:val="2"/>
                <w:highlight w:val="none"/>
              </w:rPr>
              <w:t>含税公开</w:t>
            </w:r>
            <w:r>
              <w:rPr>
                <w:rFonts w:ascii="宋体" w:hAnsi="宋体" w:cs="Tahoma"/>
                <w:b/>
                <w:kern w:val="2"/>
                <w:highlight w:val="none"/>
              </w:rPr>
              <w:br w:type="textWrapping"/>
            </w:r>
            <w:r>
              <w:rPr>
                <w:rFonts w:hint="eastAsia" w:ascii="宋体" w:hAnsi="宋体" w:cs="Tahoma"/>
                <w:b/>
                <w:kern w:val="2"/>
                <w:highlight w:val="none"/>
              </w:rPr>
              <w:t>单价(RMB)</w:t>
            </w:r>
          </w:p>
        </w:tc>
        <w:tc>
          <w:tcPr>
            <w:tcW w:w="1022" w:type="dxa"/>
            <w:tcBorders>
              <w:top w:val="single" w:color="auto" w:sz="4" w:space="0"/>
              <w:left w:val="single" w:color="auto" w:sz="4" w:space="0"/>
              <w:bottom w:val="single" w:color="auto" w:sz="4" w:space="0"/>
              <w:right w:val="single" w:color="auto" w:sz="4" w:space="0"/>
            </w:tcBorders>
            <w:vAlign w:val="center"/>
          </w:tcPr>
          <w:p w14:paraId="404346DD">
            <w:pPr>
              <w:widowControl/>
              <w:spacing w:line="280" w:lineRule="exact"/>
              <w:jc w:val="center"/>
              <w:rPr>
                <w:rFonts w:hint="eastAsia" w:ascii="宋体" w:hAnsi="宋体" w:cs="宋体"/>
                <w:b/>
                <w:bCs/>
                <w:highlight w:val="none"/>
              </w:rPr>
            </w:pPr>
            <w:r>
              <w:rPr>
                <w:rFonts w:hint="eastAsia" w:ascii="宋体" w:hAnsi="宋体" w:cs="宋体"/>
                <w:b/>
                <w:bCs/>
                <w:highlight w:val="none"/>
              </w:rPr>
              <w:t>折扣</w:t>
            </w:r>
            <w:r>
              <w:rPr>
                <w:rFonts w:ascii="宋体" w:hAnsi="宋体" w:cs="宋体"/>
                <w:b/>
                <w:bCs/>
                <w:highlight w:val="none"/>
              </w:rPr>
              <w:br w:type="textWrapping"/>
            </w:r>
            <w:r>
              <w:rPr>
                <w:rFonts w:hint="eastAsia" w:ascii="宋体" w:hAnsi="宋体" w:cs="宋体"/>
                <w:b/>
                <w:bCs/>
                <w:highlight w:val="none"/>
              </w:rPr>
              <w:t>（OFF）</w:t>
            </w:r>
          </w:p>
        </w:tc>
        <w:tc>
          <w:tcPr>
            <w:tcW w:w="1273" w:type="dxa"/>
            <w:tcBorders>
              <w:top w:val="single" w:color="auto" w:sz="4" w:space="0"/>
              <w:left w:val="single" w:color="auto" w:sz="4" w:space="0"/>
              <w:bottom w:val="single" w:color="auto" w:sz="4" w:space="0"/>
              <w:right w:val="single" w:color="auto" w:sz="4" w:space="0"/>
            </w:tcBorders>
            <w:vAlign w:val="center"/>
          </w:tcPr>
          <w:p w14:paraId="70027482">
            <w:pPr>
              <w:widowControl/>
              <w:spacing w:line="280" w:lineRule="exact"/>
              <w:jc w:val="center"/>
              <w:rPr>
                <w:rFonts w:hint="eastAsia" w:ascii="宋体" w:hAnsi="宋体" w:cs="宋体"/>
                <w:b/>
                <w:bCs/>
                <w:highlight w:val="none"/>
              </w:rPr>
            </w:pPr>
            <w:r>
              <w:rPr>
                <w:rFonts w:hint="eastAsia" w:ascii="宋体" w:hAnsi="宋体" w:cs="Tahoma"/>
                <w:b/>
                <w:kern w:val="2"/>
                <w:highlight w:val="none"/>
              </w:rPr>
              <w:t>含税折后</w:t>
            </w:r>
            <w:r>
              <w:rPr>
                <w:rFonts w:ascii="宋体" w:hAnsi="宋体" w:cs="Tahoma"/>
                <w:b/>
                <w:kern w:val="2"/>
                <w:highlight w:val="none"/>
              </w:rPr>
              <w:br w:type="textWrapping"/>
            </w:r>
            <w:r>
              <w:rPr>
                <w:rFonts w:hint="eastAsia" w:ascii="宋体" w:hAnsi="宋体" w:cs="Tahoma"/>
                <w:b/>
                <w:kern w:val="2"/>
                <w:highlight w:val="none"/>
              </w:rPr>
              <w:t>单价(RMB)</w:t>
            </w:r>
          </w:p>
        </w:tc>
        <w:tc>
          <w:tcPr>
            <w:tcW w:w="700" w:type="dxa"/>
            <w:tcBorders>
              <w:top w:val="single" w:color="auto" w:sz="4" w:space="0"/>
              <w:left w:val="single" w:color="auto" w:sz="4" w:space="0"/>
              <w:bottom w:val="single" w:color="auto" w:sz="4" w:space="0"/>
              <w:right w:val="single" w:color="auto" w:sz="4" w:space="0"/>
            </w:tcBorders>
          </w:tcPr>
          <w:p w14:paraId="293C9278">
            <w:pPr>
              <w:widowControl/>
              <w:spacing w:line="280" w:lineRule="exact"/>
              <w:jc w:val="center"/>
              <w:rPr>
                <w:rFonts w:hint="eastAsia" w:ascii="宋体" w:hAnsi="宋体" w:cs="宋体"/>
                <w:b/>
                <w:bCs/>
                <w:highlight w:val="none"/>
              </w:rPr>
            </w:pPr>
            <w:r>
              <w:rPr>
                <w:rFonts w:hint="eastAsia" w:ascii="宋体" w:hAnsi="宋体" w:cs="宋体"/>
                <w:b/>
                <w:bCs/>
                <w:highlight w:val="none"/>
              </w:rPr>
              <w:t>税率</w:t>
            </w:r>
            <w:r>
              <w:rPr>
                <w:rFonts w:ascii="宋体" w:hAnsi="宋体" w:cs="宋体"/>
                <w:b/>
                <w:bCs/>
                <w:highlight w:val="none"/>
              </w:rPr>
              <w:br w:type="textWrapping"/>
            </w:r>
            <w:r>
              <w:rPr>
                <w:rFonts w:hint="eastAsia" w:ascii="宋体" w:hAnsi="宋体" w:cs="宋体"/>
                <w:b/>
                <w:bCs/>
                <w:highlight w:val="none"/>
              </w:rPr>
              <w:t>%</w:t>
            </w:r>
          </w:p>
        </w:tc>
        <w:tc>
          <w:tcPr>
            <w:tcW w:w="806" w:type="dxa"/>
            <w:tcBorders>
              <w:top w:val="single" w:color="auto" w:sz="4" w:space="0"/>
              <w:left w:val="single" w:color="auto" w:sz="4" w:space="0"/>
              <w:bottom w:val="single" w:color="auto" w:sz="4" w:space="0"/>
              <w:right w:val="single" w:color="auto" w:sz="4" w:space="0"/>
            </w:tcBorders>
            <w:vAlign w:val="center"/>
          </w:tcPr>
          <w:p w14:paraId="13CBC729">
            <w:pPr>
              <w:widowControl/>
              <w:spacing w:line="280" w:lineRule="exact"/>
              <w:jc w:val="center"/>
              <w:rPr>
                <w:rFonts w:hint="eastAsia" w:ascii="宋体" w:hAnsi="宋体" w:cs="宋体"/>
                <w:b/>
                <w:bCs/>
                <w:highlight w:val="none"/>
              </w:rPr>
            </w:pPr>
            <w:r>
              <w:rPr>
                <w:rFonts w:hint="eastAsia" w:ascii="宋体" w:hAnsi="宋体" w:cs="宋体"/>
                <w:b/>
                <w:bCs/>
                <w:highlight w:val="none"/>
              </w:rPr>
              <w:t>数量</w:t>
            </w:r>
          </w:p>
        </w:tc>
        <w:tc>
          <w:tcPr>
            <w:tcW w:w="1014" w:type="dxa"/>
            <w:tcBorders>
              <w:top w:val="single" w:color="auto" w:sz="4" w:space="0"/>
              <w:left w:val="single" w:color="auto" w:sz="4" w:space="0"/>
              <w:bottom w:val="single" w:color="auto" w:sz="4" w:space="0"/>
              <w:right w:val="single" w:color="auto" w:sz="4" w:space="0"/>
            </w:tcBorders>
            <w:vAlign w:val="center"/>
          </w:tcPr>
          <w:p w14:paraId="0BA420E7">
            <w:pPr>
              <w:widowControl/>
              <w:spacing w:line="280" w:lineRule="exact"/>
              <w:jc w:val="center"/>
              <w:rPr>
                <w:rFonts w:hint="eastAsia" w:ascii="宋体" w:hAnsi="宋体" w:cs="宋体"/>
                <w:b/>
                <w:bCs/>
                <w:highlight w:val="none"/>
              </w:rPr>
            </w:pPr>
            <w:r>
              <w:rPr>
                <w:rFonts w:ascii="宋体" w:hAnsi="宋体" w:cs="Tahoma"/>
                <w:b/>
                <w:kern w:val="2"/>
                <w:highlight w:val="none"/>
              </w:rPr>
              <w:t>小计</w:t>
            </w:r>
            <w:r>
              <w:rPr>
                <w:rFonts w:ascii="宋体" w:hAnsi="宋体" w:cs="Tahoma"/>
                <w:b/>
                <w:kern w:val="2"/>
                <w:highlight w:val="none"/>
              </w:rPr>
              <w:br w:type="textWrapping"/>
            </w:r>
            <w:r>
              <w:rPr>
                <w:rFonts w:hint="eastAsia" w:ascii="宋体" w:hAnsi="宋体" w:cs="Tahoma"/>
                <w:b/>
                <w:kern w:val="2"/>
                <w:highlight w:val="none"/>
              </w:rPr>
              <w:t>(RMB)</w:t>
            </w:r>
          </w:p>
        </w:tc>
      </w:tr>
      <w:tr w14:paraId="7ECFBFFB">
        <w:tblPrEx>
          <w:tblCellMar>
            <w:top w:w="0" w:type="dxa"/>
            <w:left w:w="108" w:type="dxa"/>
            <w:bottom w:w="0" w:type="dxa"/>
            <w:right w:w="108" w:type="dxa"/>
          </w:tblCellMar>
        </w:tblPrEx>
        <w:trPr>
          <w:trHeight w:val="375"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2F9ECF13">
            <w:pPr>
              <w:widowControl/>
              <w:spacing w:line="280" w:lineRule="exact"/>
              <w:jc w:val="center"/>
              <w:rPr>
                <w:rFonts w:hint="eastAsia" w:ascii="宋体" w:hAnsi="宋体" w:cs="宋体"/>
                <w:bCs/>
                <w:highlight w:val="none"/>
              </w:rPr>
            </w:pPr>
            <w:r>
              <w:rPr>
                <w:rFonts w:ascii="宋体" w:hAnsi="宋体" w:cs="宋体"/>
                <w:bCs/>
                <w:highlight w:val="none"/>
              </w:rPr>
              <w:t>1</w:t>
            </w:r>
          </w:p>
        </w:tc>
        <w:tc>
          <w:tcPr>
            <w:tcW w:w="1960"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A7ACDC3">
            <w:pPr>
              <w:widowControl/>
              <w:jc w:val="center"/>
              <w:rPr>
                <w:rFonts w:hint="default" w:ascii="宋体" w:hAnsi="宋体" w:eastAsia="宋体"/>
                <w:color w:val="000000"/>
                <w:highlight w:val="none"/>
                <w:lang w:val="en-US" w:eastAsia="zh-CN"/>
              </w:rPr>
            </w:pPr>
            <w:r>
              <w:rPr>
                <w:rFonts w:hint="eastAsia" w:ascii="宋体" w:hAnsi="宋体"/>
                <w:color w:val="000000"/>
                <w:highlight w:val="none"/>
                <w:lang w:val="en-US" w:eastAsia="zh-CN"/>
              </w:rPr>
              <w:t>单机柜维护服务</w:t>
            </w:r>
          </w:p>
        </w:tc>
        <w:tc>
          <w:tcPr>
            <w:tcW w:w="5305" w:type="dxa"/>
            <w:tcBorders>
              <w:top w:val="single" w:color="auto" w:sz="4" w:space="0"/>
              <w:left w:val="single" w:color="auto" w:sz="4" w:space="0"/>
              <w:bottom w:val="single" w:color="auto" w:sz="4" w:space="0"/>
              <w:right w:val="single" w:color="auto" w:sz="4" w:space="0"/>
            </w:tcBorders>
            <w:vAlign w:val="center"/>
          </w:tcPr>
          <w:p w14:paraId="42E21EBB">
            <w:pPr>
              <w:textAlignment w:val="center"/>
              <w:rPr>
                <w:rFonts w:hint="eastAsia" w:ascii="等线" w:hAnsi="等线" w:eastAsia="等线" w:cs="宋体"/>
                <w:kern w:val="2"/>
                <w:highlight w:val="none"/>
                <w:lang w:val="en-US" w:eastAsia="zh-CN" w:bidi="ar"/>
              </w:rPr>
            </w:pPr>
            <w:r>
              <w:rPr>
                <w:rFonts w:hint="eastAsia" w:ascii="等线" w:hAnsi="等线" w:eastAsia="等线" w:cs="宋体"/>
                <w:kern w:val="2"/>
                <w:highlight w:val="none"/>
                <w:lang w:val="en-US" w:eastAsia="zh-CN" w:bidi="ar"/>
              </w:rPr>
              <w:t>包括但不限于：</w:t>
            </w:r>
          </w:p>
          <w:p w14:paraId="552BEAF6">
            <w:pPr>
              <w:textAlignment w:val="center"/>
              <w:rPr>
                <w:rFonts w:hint="eastAsia" w:ascii="等线" w:hAnsi="等线" w:eastAsia="等线" w:cs="宋体"/>
                <w:kern w:val="2"/>
                <w:highlight w:val="none"/>
                <w:lang w:bidi="ar"/>
              </w:rPr>
            </w:pPr>
            <w:r>
              <w:rPr>
                <w:rFonts w:hint="eastAsia" w:ascii="等线" w:hAnsi="等线" w:eastAsia="等线" w:cs="宋体"/>
                <w:kern w:val="2"/>
                <w:highlight w:val="none"/>
                <w:lang w:bidi="ar"/>
              </w:rPr>
              <w:t xml:space="preserve">1.日常运行管理 （设备检查、系统日常巡检、客户端操作支持） </w:t>
            </w:r>
          </w:p>
          <w:p w14:paraId="1DB58DBA">
            <w:pPr>
              <w:textAlignment w:val="center"/>
              <w:rPr>
                <w:rFonts w:hint="eastAsia" w:ascii="等线" w:hAnsi="等线" w:eastAsia="等线" w:cs="宋体"/>
                <w:kern w:val="2"/>
                <w:highlight w:val="none"/>
                <w:lang w:bidi="ar"/>
              </w:rPr>
            </w:pPr>
            <w:r>
              <w:rPr>
                <w:rFonts w:hint="eastAsia" w:ascii="等线" w:hAnsi="等线" w:eastAsia="等线" w:cs="宋体"/>
                <w:kern w:val="2"/>
                <w:highlight w:val="none"/>
                <w:lang w:bidi="ar"/>
              </w:rPr>
              <w:t>2.硬件设备维护 （故障排除、设备修复、配件支持）</w:t>
            </w:r>
          </w:p>
          <w:p w14:paraId="1F7479F1">
            <w:pPr>
              <w:textAlignment w:val="center"/>
              <w:rPr>
                <w:rFonts w:hint="eastAsia" w:ascii="等线" w:hAnsi="等线" w:eastAsia="等线" w:cs="宋体"/>
                <w:kern w:val="2"/>
                <w:highlight w:val="none"/>
                <w:lang w:bidi="ar"/>
              </w:rPr>
            </w:pPr>
            <w:r>
              <w:rPr>
                <w:rFonts w:hint="eastAsia" w:ascii="等线" w:hAnsi="等线" w:eastAsia="等线" w:cs="宋体"/>
                <w:kern w:val="2"/>
                <w:highlight w:val="none"/>
                <w:lang w:bidi="ar"/>
              </w:rPr>
              <w:t>3.产品软件维护 （更新升级、安装调试、系统恢复）</w:t>
            </w:r>
          </w:p>
          <w:p w14:paraId="61F7C84B">
            <w:pPr>
              <w:textAlignment w:val="center"/>
              <w:rPr>
                <w:rFonts w:hint="eastAsia" w:ascii="等线" w:hAnsi="等线" w:eastAsia="等线" w:cs="宋体"/>
                <w:kern w:val="2"/>
                <w:highlight w:val="none"/>
                <w:lang w:bidi="ar"/>
              </w:rPr>
            </w:pPr>
            <w:r>
              <w:rPr>
                <w:rFonts w:hint="eastAsia" w:ascii="等线" w:hAnsi="等线" w:eastAsia="等线" w:cs="宋体"/>
                <w:kern w:val="2"/>
                <w:highlight w:val="none"/>
                <w:lang w:bidi="ar"/>
              </w:rPr>
              <w:t xml:space="preserve">4.网络设备维护 （网络诊断、故障排除、参数设置、性能优化） </w:t>
            </w:r>
          </w:p>
          <w:p w14:paraId="5434A514">
            <w:pPr>
              <w:textAlignment w:val="center"/>
              <w:rPr>
                <w:rFonts w:hint="default" w:ascii="等线" w:hAnsi="等线" w:eastAsia="等线" w:cs="宋体"/>
                <w:kern w:val="2"/>
                <w:highlight w:val="none"/>
                <w:lang w:val="en-US" w:eastAsia="zh-CN" w:bidi="ar"/>
              </w:rPr>
            </w:pPr>
            <w:r>
              <w:rPr>
                <w:rFonts w:hint="eastAsia" w:ascii="等线" w:hAnsi="等线" w:eastAsia="等线" w:cs="宋体"/>
                <w:kern w:val="2"/>
                <w:highlight w:val="none"/>
                <w:lang w:bidi="ar"/>
              </w:rPr>
              <w:t>5.其他维护服务：维护期内</w:t>
            </w:r>
            <w:r>
              <w:rPr>
                <w:rFonts w:hint="eastAsia" w:ascii="等线" w:hAnsi="等线" w:eastAsia="等线" w:cs="宋体"/>
                <w:kern w:val="2"/>
                <w:highlight w:val="none"/>
                <w:lang w:val="en-US" w:eastAsia="zh-CN" w:bidi="ar"/>
              </w:rPr>
              <w:t>机柜</w:t>
            </w:r>
            <w:r>
              <w:rPr>
                <w:rFonts w:hint="eastAsia" w:ascii="等线" w:hAnsi="等线" w:eastAsia="等线" w:cs="宋体"/>
                <w:kern w:val="2"/>
                <w:highlight w:val="none"/>
                <w:lang w:bidi="ar"/>
              </w:rPr>
              <w:t xml:space="preserve">新增的设备维护     </w:t>
            </w:r>
          </w:p>
        </w:tc>
        <w:tc>
          <w:tcPr>
            <w:tcW w:w="1358" w:type="dxa"/>
            <w:tcBorders>
              <w:top w:val="single" w:color="auto" w:sz="4" w:space="0"/>
              <w:left w:val="single" w:color="auto" w:sz="4" w:space="0"/>
              <w:bottom w:val="single" w:color="auto" w:sz="4" w:space="0"/>
              <w:right w:val="single" w:color="auto" w:sz="4" w:space="0"/>
            </w:tcBorders>
            <w:vAlign w:val="center"/>
          </w:tcPr>
          <w:p w14:paraId="02ADD832">
            <w:pPr>
              <w:widowControl/>
              <w:spacing w:line="280" w:lineRule="exact"/>
              <w:jc w:val="center"/>
              <w:rPr>
                <w:rFonts w:hint="eastAsia" w:ascii="宋体" w:hAnsi="宋体" w:cs="宋体"/>
                <w:bCs/>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624BA72A">
            <w:pPr>
              <w:widowControl/>
              <w:spacing w:line="280" w:lineRule="exact"/>
              <w:jc w:val="center"/>
              <w:rPr>
                <w:rFonts w:hint="eastAsia" w:ascii="宋体" w:hAnsi="宋体" w:cs="宋体"/>
                <w:bCs/>
                <w:highlight w:val="none"/>
              </w:rPr>
            </w:pPr>
          </w:p>
        </w:tc>
        <w:tc>
          <w:tcPr>
            <w:tcW w:w="1273" w:type="dxa"/>
            <w:tcBorders>
              <w:top w:val="single" w:color="auto" w:sz="4" w:space="0"/>
              <w:left w:val="single" w:color="auto" w:sz="4" w:space="0"/>
              <w:bottom w:val="single" w:color="auto" w:sz="4" w:space="0"/>
              <w:right w:val="single" w:color="auto" w:sz="4" w:space="0"/>
            </w:tcBorders>
            <w:vAlign w:val="center"/>
          </w:tcPr>
          <w:p w14:paraId="0B58EE86">
            <w:pPr>
              <w:widowControl/>
              <w:spacing w:line="280" w:lineRule="exact"/>
              <w:jc w:val="center"/>
              <w:rPr>
                <w:rFonts w:hint="eastAsia" w:ascii="宋体" w:hAnsi="宋体" w:cs="宋体"/>
                <w:bCs/>
                <w:highlight w:val="none"/>
              </w:rPr>
            </w:pPr>
          </w:p>
        </w:tc>
        <w:tc>
          <w:tcPr>
            <w:tcW w:w="700" w:type="dxa"/>
            <w:tcBorders>
              <w:top w:val="single" w:color="auto" w:sz="4" w:space="0"/>
              <w:left w:val="single" w:color="auto" w:sz="4" w:space="0"/>
              <w:bottom w:val="single" w:color="auto" w:sz="4" w:space="0"/>
              <w:right w:val="single" w:color="auto" w:sz="4" w:space="0"/>
            </w:tcBorders>
            <w:vAlign w:val="center"/>
          </w:tcPr>
          <w:p w14:paraId="6DC34340">
            <w:pPr>
              <w:widowControl/>
              <w:spacing w:line="280" w:lineRule="exact"/>
              <w:jc w:val="center"/>
              <w:rPr>
                <w:rFonts w:hint="eastAsia" w:ascii="宋体" w:hAnsi="宋体" w:cs="宋体"/>
                <w:bCs/>
                <w:highlight w:val="none"/>
              </w:rPr>
            </w:pPr>
          </w:p>
        </w:tc>
        <w:tc>
          <w:tcPr>
            <w:tcW w:w="806" w:type="dxa"/>
            <w:tcBorders>
              <w:top w:val="single" w:color="auto" w:sz="4" w:space="0"/>
              <w:left w:val="single" w:color="auto" w:sz="4" w:space="0"/>
              <w:bottom w:val="single" w:color="auto" w:sz="4" w:space="0"/>
              <w:right w:val="single" w:color="auto" w:sz="4" w:space="0"/>
            </w:tcBorders>
            <w:vAlign w:val="center"/>
          </w:tcPr>
          <w:p w14:paraId="76F7CD68">
            <w:pPr>
              <w:widowControl/>
              <w:spacing w:line="280" w:lineRule="exact"/>
              <w:jc w:val="center"/>
              <w:rPr>
                <w:rFonts w:hint="default" w:ascii="宋体" w:hAnsi="宋体" w:eastAsia="宋体" w:cs="宋体"/>
                <w:bCs/>
                <w:highlight w:val="none"/>
                <w:lang w:val="en-US" w:eastAsia="zh-CN"/>
              </w:rPr>
            </w:pPr>
            <w:r>
              <w:rPr>
                <w:rFonts w:hint="eastAsia" w:ascii="宋体" w:hAnsi="宋体" w:cs="宋体"/>
                <w:bCs/>
                <w:highlight w:val="none"/>
                <w:lang w:val="en-US" w:eastAsia="zh-CN"/>
              </w:rPr>
              <w:t>30</w:t>
            </w:r>
          </w:p>
        </w:tc>
        <w:tc>
          <w:tcPr>
            <w:tcW w:w="1014" w:type="dxa"/>
            <w:tcBorders>
              <w:top w:val="single" w:color="auto" w:sz="4" w:space="0"/>
              <w:left w:val="single" w:color="auto" w:sz="4" w:space="0"/>
              <w:bottom w:val="single" w:color="auto" w:sz="4" w:space="0"/>
              <w:right w:val="single" w:color="auto" w:sz="4" w:space="0"/>
            </w:tcBorders>
            <w:vAlign w:val="center"/>
          </w:tcPr>
          <w:p w14:paraId="1B9002FF">
            <w:pPr>
              <w:widowControl/>
              <w:spacing w:line="280" w:lineRule="exact"/>
              <w:jc w:val="center"/>
              <w:rPr>
                <w:rFonts w:hint="eastAsia" w:ascii="宋体" w:hAnsi="宋体" w:cs="宋体"/>
                <w:bCs/>
                <w:highlight w:val="none"/>
              </w:rPr>
            </w:pPr>
          </w:p>
        </w:tc>
      </w:tr>
      <w:tr w14:paraId="02FFE043">
        <w:tblPrEx>
          <w:tblCellMar>
            <w:top w:w="0" w:type="dxa"/>
            <w:left w:w="108" w:type="dxa"/>
            <w:bottom w:w="0" w:type="dxa"/>
            <w:right w:w="108" w:type="dxa"/>
          </w:tblCellMar>
        </w:tblPrEx>
        <w:trPr>
          <w:trHeight w:val="464" w:hRule="atLeast"/>
          <w:jc w:val="center"/>
        </w:trPr>
        <w:tc>
          <w:tcPr>
            <w:tcW w:w="13063" w:type="dxa"/>
            <w:gridSpan w:val="8"/>
            <w:tcBorders>
              <w:top w:val="single" w:color="auto" w:sz="4" w:space="0"/>
              <w:left w:val="single" w:color="auto" w:sz="4" w:space="0"/>
              <w:bottom w:val="single" w:color="auto" w:sz="4" w:space="0"/>
              <w:right w:val="single" w:color="auto" w:sz="4" w:space="0"/>
            </w:tcBorders>
            <w:vAlign w:val="center"/>
          </w:tcPr>
          <w:p w14:paraId="34E89D4F">
            <w:pPr>
              <w:widowControl/>
              <w:spacing w:line="280" w:lineRule="exact"/>
              <w:jc w:val="center"/>
              <w:rPr>
                <w:rFonts w:hint="eastAsia" w:ascii="宋体" w:hAnsi="宋体" w:cs="宋体"/>
                <w:b/>
                <w:bCs/>
                <w:highlight w:val="none"/>
              </w:rPr>
            </w:pPr>
            <w:r>
              <w:rPr>
                <w:rFonts w:hint="eastAsia" w:ascii="宋体" w:hAnsi="宋体" w:cs="宋体"/>
                <w:b/>
                <w:bCs/>
                <w:highlight w:val="none"/>
                <w:lang w:val="en-US" w:eastAsia="zh-CN"/>
              </w:rPr>
              <w:t>含税</w:t>
            </w:r>
            <w:r>
              <w:rPr>
                <w:rFonts w:hint="eastAsia" w:ascii="宋体" w:hAnsi="宋体" w:cs="宋体"/>
                <w:b/>
                <w:bCs/>
                <w:highlight w:val="none"/>
              </w:rPr>
              <w:t>总计</w:t>
            </w:r>
            <w:r>
              <w:rPr>
                <w:rFonts w:hint="eastAsia" w:ascii="宋体" w:hAnsi="宋体" w:cs="Tahoma"/>
                <w:b/>
                <w:kern w:val="2"/>
                <w:highlight w:val="none"/>
              </w:rPr>
              <w:t>(RMB)</w:t>
            </w:r>
            <w:r>
              <w:rPr>
                <w:rFonts w:hint="eastAsia" w:ascii="宋体" w:hAnsi="宋体" w:cs="Tahoma"/>
                <w:b/>
                <w:kern w:val="2"/>
                <w:highlight w:val="none"/>
                <w:lang w:eastAsia="zh-CN"/>
              </w:rPr>
              <w:t>：</w:t>
            </w:r>
            <w:r>
              <w:rPr>
                <w:rFonts w:hint="eastAsia" w:ascii="宋体" w:hAnsi="宋体" w:cs="Tahoma"/>
                <w:b/>
                <w:kern w:val="2"/>
                <w:highlight w:val="none"/>
                <w:lang w:val="en-US" w:eastAsia="zh-CN"/>
              </w:rPr>
              <w:t xml:space="preserve">                                                      不含税总价（RMB)：</w:t>
            </w:r>
          </w:p>
        </w:tc>
        <w:tc>
          <w:tcPr>
            <w:tcW w:w="1014" w:type="dxa"/>
            <w:tcBorders>
              <w:top w:val="single" w:color="auto" w:sz="4" w:space="0"/>
              <w:left w:val="single" w:color="auto" w:sz="4" w:space="0"/>
              <w:bottom w:val="single" w:color="auto" w:sz="4" w:space="0"/>
              <w:right w:val="single" w:color="auto" w:sz="4" w:space="0"/>
            </w:tcBorders>
            <w:vAlign w:val="center"/>
          </w:tcPr>
          <w:p w14:paraId="5AE7A05C">
            <w:pPr>
              <w:widowControl/>
              <w:spacing w:line="280" w:lineRule="exact"/>
              <w:jc w:val="left"/>
              <w:rPr>
                <w:rFonts w:hint="eastAsia" w:ascii="宋体" w:hAnsi="宋体" w:cs="宋体"/>
                <w:bCs/>
                <w:highlight w:val="none"/>
              </w:rPr>
            </w:pPr>
          </w:p>
        </w:tc>
      </w:tr>
    </w:tbl>
    <w:p w14:paraId="2D4B20F7">
      <w:pPr>
        <w:spacing w:line="360" w:lineRule="exact"/>
        <w:rPr>
          <w:b/>
          <w:bCs/>
          <w:kern w:val="2"/>
          <w:sz w:val="24"/>
          <w:szCs w:val="24"/>
          <w:highlight w:val="none"/>
        </w:rPr>
      </w:pPr>
      <w:r>
        <w:rPr>
          <w:rFonts w:hint="eastAsia"/>
          <w:b/>
          <w:bCs/>
          <w:kern w:val="2"/>
          <w:sz w:val="24"/>
          <w:szCs w:val="24"/>
          <w:highlight w:val="none"/>
        </w:rPr>
        <w:t>注：</w:t>
      </w:r>
    </w:p>
    <w:p w14:paraId="363C672B">
      <w:pPr>
        <w:numPr>
          <w:ilvl w:val="0"/>
          <w:numId w:val="13"/>
        </w:numPr>
        <w:spacing w:line="360" w:lineRule="exact"/>
        <w:ind w:left="284" w:hanging="284"/>
        <w:rPr>
          <w:rFonts w:hint="eastAsia" w:ascii="宋体" w:hAnsi="宋体"/>
          <w:kern w:val="2"/>
          <w:sz w:val="24"/>
          <w:szCs w:val="24"/>
          <w:highlight w:val="none"/>
        </w:rPr>
      </w:pPr>
      <w:r>
        <w:rPr>
          <w:rFonts w:hint="eastAsia" w:ascii="宋体" w:hAnsi="宋体"/>
          <w:kern w:val="2"/>
          <w:sz w:val="24"/>
          <w:szCs w:val="24"/>
          <w:highlight w:val="none"/>
        </w:rPr>
        <w:t>如果单价与总价有差异，则以单价为准，对总价进行修正；</w:t>
      </w:r>
    </w:p>
    <w:p w14:paraId="464EB962">
      <w:pPr>
        <w:numPr>
          <w:ilvl w:val="0"/>
          <w:numId w:val="13"/>
        </w:numPr>
        <w:spacing w:line="360" w:lineRule="exact"/>
        <w:ind w:left="284" w:hanging="284"/>
        <w:rPr>
          <w:rFonts w:hint="eastAsia" w:ascii="宋体" w:hAnsi="宋体"/>
          <w:kern w:val="2"/>
          <w:sz w:val="24"/>
          <w:szCs w:val="24"/>
          <w:highlight w:val="none"/>
        </w:rPr>
      </w:pPr>
      <w:r>
        <w:rPr>
          <w:rFonts w:hint="eastAsia" w:ascii="宋体" w:hAnsi="宋体"/>
          <w:kern w:val="2"/>
          <w:sz w:val="24"/>
          <w:szCs w:val="24"/>
          <w:highlight w:val="none"/>
        </w:rPr>
        <w:t>各详细配置见配置文件；</w:t>
      </w:r>
    </w:p>
    <w:p w14:paraId="6F7C1397">
      <w:pPr>
        <w:numPr>
          <w:ilvl w:val="0"/>
          <w:numId w:val="13"/>
        </w:numPr>
        <w:spacing w:line="360" w:lineRule="exact"/>
        <w:ind w:left="284" w:hanging="284"/>
        <w:rPr>
          <w:rFonts w:ascii="Calibri" w:hAnsi="Calibri"/>
          <w:b/>
          <w:kern w:val="2"/>
        </w:rPr>
      </w:pPr>
      <w:r>
        <w:rPr>
          <w:rFonts w:hint="eastAsia" w:ascii="宋体" w:hAnsi="宋体"/>
          <w:kern w:val="2"/>
          <w:sz w:val="24"/>
          <w:szCs w:val="24"/>
          <w:highlight w:val="none"/>
        </w:rPr>
        <w:t>若需要可另表说明各类软硬件设备的配置明细。</w:t>
      </w:r>
    </w:p>
    <w:p w14:paraId="386713EE">
      <w:pPr>
        <w:spacing w:line="500" w:lineRule="exact"/>
        <w:ind w:right="71" w:firstLine="4920" w:firstLineChars="2050"/>
        <w:rPr>
          <w:rFonts w:hint="eastAsia" w:ascii="宋体" w:hAnsi="宋体"/>
          <w:spacing w:val="4"/>
          <w:kern w:val="2"/>
          <w:sz w:val="24"/>
          <w:szCs w:val="24"/>
        </w:rPr>
      </w:pPr>
      <w:r>
        <w:rPr>
          <w:rFonts w:hint="eastAsia" w:ascii="宋体" w:hAnsi="宋体"/>
          <w:kern w:val="2"/>
          <w:sz w:val="24"/>
          <w:szCs w:val="24"/>
        </w:rPr>
        <w:t>投标人： （公章）</w:t>
      </w:r>
    </w:p>
    <w:p w14:paraId="65746B00">
      <w:pPr>
        <w:spacing w:line="500" w:lineRule="exact"/>
        <w:ind w:right="71"/>
        <w:rPr>
          <w:rFonts w:hint="eastAsia" w:ascii="宋体" w:hAnsi="宋体"/>
          <w:spacing w:val="4"/>
          <w:kern w:val="2"/>
          <w:sz w:val="24"/>
          <w:szCs w:val="24"/>
        </w:rPr>
      </w:pPr>
    </w:p>
    <w:p w14:paraId="729ABBEB">
      <w:pPr>
        <w:ind w:right="496" w:firstLine="4920" w:firstLineChars="2050"/>
        <w:jc w:val="left"/>
        <w:rPr>
          <w:rFonts w:hint="eastAsia" w:ascii="宋体" w:hAnsi="宋体"/>
          <w:kern w:val="2"/>
          <w:sz w:val="24"/>
          <w:szCs w:val="24"/>
        </w:rPr>
      </w:pPr>
      <w:r>
        <w:rPr>
          <w:rFonts w:hint="eastAsia" w:ascii="宋体" w:hAnsi="宋体"/>
          <w:kern w:val="2"/>
          <w:sz w:val="24"/>
          <w:szCs w:val="24"/>
        </w:rPr>
        <w:t>授权代表人：（签名或盖章）</w:t>
      </w:r>
    </w:p>
    <w:p w14:paraId="448D3B4B">
      <w:pPr>
        <w:ind w:firstLine="9920" w:firstLineChars="4000"/>
        <w:rPr>
          <w:rFonts w:hint="eastAsia" w:ascii="宋体" w:hAnsi="宋体"/>
          <w:kern w:val="2"/>
          <w:sz w:val="24"/>
          <w:szCs w:val="24"/>
        </w:rPr>
      </w:pPr>
      <w:r>
        <w:rPr>
          <w:rFonts w:hint="eastAsia" w:ascii="宋体" w:hAnsi="宋体"/>
          <w:spacing w:val="4"/>
          <w:kern w:val="2"/>
          <w:sz w:val="24"/>
          <w:szCs w:val="24"/>
        </w:rPr>
        <w:t>年   月  日</w:t>
      </w:r>
    </w:p>
    <w:p w14:paraId="64856AB1">
      <w:pPr>
        <w:rPr>
          <w:rFonts w:hint="eastAsia" w:ascii="宋体" w:hAnsi="宋体"/>
          <w:kern w:val="2"/>
          <w:sz w:val="24"/>
          <w:szCs w:val="24"/>
        </w:rPr>
        <w:sectPr>
          <w:headerReference r:id="rId15" w:type="first"/>
          <w:headerReference r:id="rId13" w:type="default"/>
          <w:footerReference r:id="rId16" w:type="default"/>
          <w:headerReference r:id="rId14" w:type="even"/>
          <w:pgSz w:w="16838" w:h="11906" w:orient="landscape"/>
          <w:pgMar w:top="1797" w:right="1440" w:bottom="1797" w:left="1440" w:header="851" w:footer="851" w:gutter="0"/>
          <w:cols w:space="425" w:num="1"/>
          <w:docGrid w:type="lines" w:linePitch="312" w:charSpace="0"/>
        </w:sectPr>
      </w:pPr>
    </w:p>
    <w:p w14:paraId="6D5B0414">
      <w:pPr>
        <w:pStyle w:val="3"/>
        <w:rPr>
          <w:bCs/>
        </w:rPr>
      </w:pPr>
      <w:bookmarkStart w:id="243" w:name="_Toc23456"/>
      <w:bookmarkStart w:id="244" w:name="_Toc184805408"/>
      <w:r>
        <w:rPr>
          <w:rFonts w:hint="eastAsia"/>
          <w:bCs/>
        </w:rPr>
        <w:t>附件3：投标人资格</w:t>
      </w:r>
      <w:bookmarkEnd w:id="234"/>
      <w:bookmarkEnd w:id="235"/>
      <w:bookmarkEnd w:id="236"/>
      <w:bookmarkEnd w:id="237"/>
      <w:bookmarkEnd w:id="238"/>
      <w:bookmarkEnd w:id="239"/>
      <w:bookmarkEnd w:id="240"/>
      <w:bookmarkEnd w:id="241"/>
      <w:bookmarkEnd w:id="242"/>
      <w:bookmarkStart w:id="245" w:name="_Toc279755175"/>
      <w:r>
        <w:rPr>
          <w:rFonts w:hint="eastAsia"/>
        </w:rPr>
        <w:t>证明文件</w:t>
      </w:r>
      <w:bookmarkEnd w:id="243"/>
      <w:bookmarkEnd w:id="244"/>
    </w:p>
    <w:p w14:paraId="57B8762A">
      <w:pPr>
        <w:jc w:val="center"/>
        <w:rPr>
          <w:b/>
          <w:color w:val="000000"/>
          <w:sz w:val="32"/>
        </w:rPr>
      </w:pPr>
    </w:p>
    <w:p w14:paraId="5A9A0FAF">
      <w:pPr>
        <w:jc w:val="center"/>
        <w:rPr>
          <w:rFonts w:hint="eastAsia" w:ascii="宋体" w:hAnsi="宋体"/>
          <w:color w:val="000000"/>
        </w:rPr>
      </w:pPr>
      <w:r>
        <w:rPr>
          <w:rFonts w:hint="eastAsia"/>
          <w:b/>
          <w:color w:val="000000"/>
          <w:sz w:val="32"/>
        </w:rPr>
        <w:t>投标人资格声明</w:t>
      </w:r>
    </w:p>
    <w:p w14:paraId="63589206">
      <w:pPr>
        <w:spacing w:before="120" w:after="120"/>
        <w:rPr>
          <w:rFonts w:hint="eastAsia" w:ascii="宋体" w:hAnsi="宋体"/>
        </w:rPr>
      </w:pPr>
    </w:p>
    <w:p w14:paraId="57E6EE22">
      <w:pPr>
        <w:spacing w:before="120" w:after="120"/>
        <w:ind w:firstLine="480" w:firstLineChars="200"/>
        <w:rPr>
          <w:rFonts w:hint="eastAsia" w:ascii="宋体" w:hAnsi="宋体"/>
          <w:sz w:val="24"/>
        </w:rPr>
      </w:pPr>
      <w:r>
        <w:rPr>
          <w:rFonts w:hint="eastAsia" w:ascii="宋体" w:hAnsi="宋体"/>
          <w:sz w:val="24"/>
        </w:rPr>
        <w:t>投标人应在此明确声明：</w:t>
      </w:r>
    </w:p>
    <w:p w14:paraId="514A7527">
      <w:pPr>
        <w:numPr>
          <w:ilvl w:val="0"/>
          <w:numId w:val="14"/>
        </w:numPr>
        <w:spacing w:before="120" w:after="120"/>
        <w:ind w:left="840" w:hanging="360"/>
        <w:rPr>
          <w:rFonts w:hint="eastAsia" w:ascii="宋体" w:hAnsi="宋体"/>
          <w:kern w:val="2"/>
          <w:sz w:val="24"/>
          <w:szCs w:val="24"/>
        </w:rPr>
      </w:pPr>
      <w:r>
        <w:rPr>
          <w:rFonts w:hint="eastAsia" w:ascii="宋体" w:hAnsi="宋体"/>
          <w:kern w:val="2"/>
          <w:sz w:val="24"/>
          <w:szCs w:val="24"/>
        </w:rPr>
        <w:t>投标书中提供的执照、证书、资质证明、数据、案例和答复等全部资料是真实的和准确的。</w:t>
      </w:r>
    </w:p>
    <w:p w14:paraId="307D3B1A">
      <w:pPr>
        <w:numPr>
          <w:ilvl w:val="0"/>
          <w:numId w:val="14"/>
        </w:numPr>
        <w:spacing w:before="120" w:after="120"/>
        <w:ind w:left="840" w:hanging="360"/>
        <w:rPr>
          <w:rFonts w:hint="eastAsia" w:ascii="宋体" w:hAnsi="宋体"/>
          <w:kern w:val="2"/>
          <w:sz w:val="24"/>
          <w:szCs w:val="24"/>
        </w:rPr>
      </w:pPr>
      <w:r>
        <w:rPr>
          <w:rFonts w:hint="eastAsia" w:ascii="宋体" w:hAnsi="宋体"/>
          <w:kern w:val="2"/>
          <w:sz w:val="24"/>
          <w:szCs w:val="24"/>
        </w:rPr>
        <w:t>投标人在经营活动中没有重大违法记录。</w:t>
      </w:r>
    </w:p>
    <w:p w14:paraId="4F51176E">
      <w:pPr>
        <w:numPr>
          <w:ilvl w:val="0"/>
          <w:numId w:val="14"/>
        </w:numPr>
        <w:spacing w:before="120" w:after="120"/>
        <w:ind w:left="840" w:hanging="360"/>
        <w:rPr>
          <w:rFonts w:hint="eastAsia" w:ascii="宋体" w:hAnsi="宋体"/>
          <w:kern w:val="2"/>
          <w:sz w:val="24"/>
          <w:szCs w:val="24"/>
        </w:rPr>
      </w:pPr>
      <w:r>
        <w:rPr>
          <w:rFonts w:hint="eastAsia" w:ascii="宋体" w:hAnsi="宋体"/>
          <w:kern w:val="2"/>
          <w:sz w:val="24"/>
          <w:szCs w:val="24"/>
        </w:rPr>
        <w:t>投标人认为其他应声明的内容。</w:t>
      </w:r>
    </w:p>
    <w:p w14:paraId="74FCBFA2">
      <w:pPr>
        <w:spacing w:before="120" w:after="120"/>
        <w:rPr>
          <w:rFonts w:hint="eastAsia" w:ascii="宋体" w:hAnsi="宋体"/>
        </w:rPr>
      </w:pPr>
    </w:p>
    <w:p w14:paraId="1F50A08A">
      <w:pPr>
        <w:spacing w:before="120" w:after="120"/>
        <w:rPr>
          <w:rFonts w:hint="eastAsia" w:ascii="宋体" w:hAnsi="宋体"/>
        </w:rPr>
      </w:pPr>
    </w:p>
    <w:p w14:paraId="732B9D2E">
      <w:pPr>
        <w:spacing w:before="120" w:after="120"/>
        <w:rPr>
          <w:rFonts w:hint="eastAsia" w:ascii="宋体" w:hAnsi="宋体"/>
        </w:rPr>
      </w:pPr>
    </w:p>
    <w:p w14:paraId="6B39DFC0">
      <w:pPr>
        <w:spacing w:before="120" w:after="120"/>
        <w:rPr>
          <w:rFonts w:hint="eastAsia" w:ascii="宋体" w:hAnsi="宋体"/>
        </w:rPr>
      </w:pPr>
    </w:p>
    <w:p w14:paraId="2649B446">
      <w:pPr>
        <w:spacing w:before="120" w:after="120"/>
        <w:rPr>
          <w:rFonts w:hint="eastAsia" w:ascii="宋体" w:hAnsi="宋体"/>
        </w:rPr>
      </w:pPr>
    </w:p>
    <w:p w14:paraId="7495AE14">
      <w:pPr>
        <w:spacing w:before="120" w:after="120"/>
        <w:rPr>
          <w:rFonts w:hint="eastAsia" w:ascii="宋体" w:hAnsi="宋体"/>
        </w:rPr>
      </w:pPr>
    </w:p>
    <w:p w14:paraId="2D442E80">
      <w:pPr>
        <w:spacing w:before="120" w:after="120"/>
        <w:ind w:firstLine="4677" w:firstLineChars="1949"/>
        <w:rPr>
          <w:rFonts w:hint="eastAsia" w:ascii="宋体" w:hAnsi="宋体"/>
          <w:kern w:val="2"/>
          <w:sz w:val="24"/>
          <w:szCs w:val="24"/>
        </w:rPr>
      </w:pPr>
      <w:r>
        <w:rPr>
          <w:rFonts w:hint="eastAsia" w:ascii="宋体" w:hAnsi="宋体"/>
          <w:kern w:val="2"/>
          <w:sz w:val="24"/>
          <w:szCs w:val="24"/>
        </w:rPr>
        <w:t>投标人： （公章）</w:t>
      </w:r>
    </w:p>
    <w:p w14:paraId="2BB8BA72">
      <w:pPr>
        <w:spacing w:before="120" w:after="120"/>
        <w:rPr>
          <w:rFonts w:hint="eastAsia" w:ascii="宋体" w:hAnsi="宋体"/>
          <w:kern w:val="2"/>
          <w:sz w:val="24"/>
          <w:szCs w:val="24"/>
        </w:rPr>
      </w:pPr>
    </w:p>
    <w:p w14:paraId="68D56800">
      <w:pPr>
        <w:spacing w:before="120" w:after="120"/>
        <w:ind w:firstLine="4677" w:firstLineChars="1949"/>
        <w:rPr>
          <w:rFonts w:hint="eastAsia" w:ascii="宋体" w:hAnsi="宋体"/>
          <w:kern w:val="2"/>
          <w:sz w:val="24"/>
          <w:szCs w:val="24"/>
        </w:rPr>
      </w:pPr>
      <w:r>
        <w:rPr>
          <w:rFonts w:hint="eastAsia" w:ascii="宋体" w:hAnsi="宋体"/>
          <w:kern w:val="2"/>
          <w:sz w:val="24"/>
          <w:szCs w:val="24"/>
        </w:rPr>
        <w:t>授权代表人：（签名或盖章）</w:t>
      </w:r>
    </w:p>
    <w:p w14:paraId="5E03B7DE">
      <w:pPr>
        <w:spacing w:before="120" w:after="120"/>
        <w:rPr>
          <w:rFonts w:hint="eastAsia" w:ascii="宋体" w:hAnsi="宋体"/>
        </w:rPr>
      </w:pPr>
    </w:p>
    <w:p w14:paraId="4FB1A0C1">
      <w:pPr>
        <w:spacing w:before="120" w:after="120"/>
        <w:ind w:firstLine="5220" w:firstLineChars="2175"/>
        <w:rPr>
          <w:rFonts w:ascii="宋体"/>
          <w:sz w:val="24"/>
        </w:rPr>
      </w:pPr>
      <w:r>
        <w:rPr>
          <w:rFonts w:hint="eastAsia"/>
          <w:sz w:val="24"/>
        </w:rPr>
        <w:t>年    月    日</w:t>
      </w:r>
    </w:p>
    <w:p w14:paraId="6C70F589">
      <w:pPr>
        <w:spacing w:before="120" w:after="120"/>
        <w:rPr>
          <w:rFonts w:hint="eastAsia" w:ascii="宋体" w:hAnsi="宋体"/>
        </w:rPr>
      </w:pPr>
    </w:p>
    <w:p w14:paraId="4488786A">
      <w:pPr>
        <w:spacing w:before="120" w:after="120"/>
        <w:rPr>
          <w:rFonts w:hint="eastAsia" w:ascii="宋体" w:hAnsi="宋体"/>
        </w:rPr>
      </w:pPr>
    </w:p>
    <w:bookmarkEnd w:id="245"/>
    <w:p w14:paraId="428046DC">
      <w:pPr>
        <w:spacing w:before="120" w:after="120"/>
        <w:rPr>
          <w:rFonts w:hint="eastAsia" w:ascii="宋体" w:hAnsi="宋体"/>
          <w:kern w:val="2"/>
          <w:sz w:val="24"/>
          <w:szCs w:val="24"/>
        </w:rPr>
      </w:pPr>
      <w:r>
        <w:rPr>
          <w:rFonts w:hint="eastAsia" w:ascii="宋体" w:hAnsi="宋体"/>
          <w:kern w:val="2"/>
          <w:sz w:val="24"/>
          <w:szCs w:val="24"/>
        </w:rPr>
        <w:t>注意：</w:t>
      </w:r>
    </w:p>
    <w:p w14:paraId="4E2B4348">
      <w:pPr>
        <w:numPr>
          <w:ilvl w:val="0"/>
          <w:numId w:val="15"/>
        </w:numPr>
        <w:spacing w:before="120" w:after="120"/>
        <w:rPr>
          <w:rFonts w:hint="eastAsia" w:ascii="宋体" w:hAnsi="宋体"/>
          <w:kern w:val="2"/>
          <w:sz w:val="24"/>
          <w:szCs w:val="24"/>
        </w:rPr>
      </w:pPr>
      <w:r>
        <w:rPr>
          <w:rFonts w:hint="eastAsia" w:ascii="宋体" w:hAnsi="宋体"/>
          <w:kern w:val="2"/>
          <w:sz w:val="24"/>
          <w:szCs w:val="24"/>
        </w:rPr>
        <w:t>投标人应按照招标书的要求提供必要的资格证明文件，并附于资格声明后装订。</w:t>
      </w:r>
    </w:p>
    <w:p w14:paraId="6CC1076E">
      <w:pPr>
        <w:numPr>
          <w:ilvl w:val="0"/>
          <w:numId w:val="15"/>
        </w:numPr>
        <w:spacing w:before="120" w:after="120"/>
        <w:rPr>
          <w:rFonts w:hint="eastAsia" w:ascii="宋体" w:hAnsi="宋体"/>
          <w:kern w:val="2"/>
          <w:sz w:val="24"/>
          <w:szCs w:val="24"/>
        </w:rPr>
      </w:pPr>
      <w:r>
        <w:rPr>
          <w:rFonts w:hint="eastAsia" w:ascii="宋体" w:hAnsi="宋体"/>
          <w:kern w:val="2"/>
          <w:sz w:val="24"/>
          <w:szCs w:val="24"/>
        </w:rPr>
        <w:t>招标方将应用投标人提交的资料，根据自己的判断和考虑，认定投标人履行合同的合格性及能力。</w:t>
      </w:r>
    </w:p>
    <w:p w14:paraId="444704D7">
      <w:pPr>
        <w:numPr>
          <w:ilvl w:val="0"/>
          <w:numId w:val="15"/>
        </w:numPr>
        <w:spacing w:before="120" w:after="120"/>
        <w:rPr>
          <w:rFonts w:hint="eastAsia" w:ascii="宋体" w:hAnsi="宋体"/>
          <w:kern w:val="2"/>
          <w:sz w:val="24"/>
          <w:szCs w:val="24"/>
        </w:rPr>
      </w:pPr>
      <w:r>
        <w:rPr>
          <w:rFonts w:hint="eastAsia" w:ascii="宋体" w:hAnsi="宋体"/>
          <w:kern w:val="2"/>
          <w:sz w:val="24"/>
          <w:szCs w:val="24"/>
        </w:rPr>
        <w:t>投标人提交的材料将被保密，但不退还。</w:t>
      </w:r>
    </w:p>
    <w:p w14:paraId="73918BF0">
      <w:pPr>
        <w:tabs>
          <w:tab w:val="left" w:pos="1080"/>
        </w:tabs>
        <w:rPr>
          <w:sz w:val="24"/>
        </w:rPr>
        <w:sectPr>
          <w:footerReference r:id="rId17" w:type="default"/>
          <w:pgSz w:w="11906" w:h="16838"/>
          <w:pgMar w:top="1440" w:right="1797" w:bottom="1440" w:left="1797" w:header="851" w:footer="907" w:gutter="0"/>
          <w:cols w:space="425" w:num="1"/>
          <w:docGrid w:type="lines" w:linePitch="312" w:charSpace="0"/>
        </w:sectPr>
      </w:pPr>
    </w:p>
    <w:p w14:paraId="15D68CAE">
      <w:pPr>
        <w:tabs>
          <w:tab w:val="left" w:pos="1080"/>
        </w:tabs>
        <w:rPr>
          <w:sz w:val="24"/>
        </w:rPr>
      </w:pPr>
    </w:p>
    <w:p w14:paraId="31B25C3E">
      <w:pPr>
        <w:pStyle w:val="3"/>
      </w:pPr>
      <w:bookmarkStart w:id="246" w:name="_Toc184805409"/>
      <w:bookmarkStart w:id="247" w:name="_Toc24047"/>
      <w:bookmarkStart w:id="248" w:name="_Toc450307958"/>
      <w:bookmarkStart w:id="249" w:name="_Toc231543354"/>
      <w:bookmarkStart w:id="250" w:name="_Toc375059697"/>
      <w:r>
        <w:rPr>
          <w:rFonts w:hint="eastAsia"/>
          <w:bCs/>
        </w:rPr>
        <w:t>附件4：供应商纳税信息登记</w:t>
      </w:r>
      <w:r>
        <w:rPr>
          <w:bCs/>
        </w:rPr>
        <w:t>表</w:t>
      </w:r>
      <w:bookmarkEnd w:id="246"/>
      <w:bookmarkEnd w:id="247"/>
      <w:bookmarkEnd w:id="248"/>
    </w:p>
    <w:p w14:paraId="22897949">
      <w:pPr>
        <w:autoSpaceDE w:val="0"/>
        <w:autoSpaceDN w:val="0"/>
        <w:adjustRightInd w:val="0"/>
        <w:spacing w:after="200" w:line="276" w:lineRule="auto"/>
        <w:jc w:val="center"/>
        <w:rPr>
          <w:rFonts w:hint="eastAsia" w:ascii="宋体" w:hAnsi="宋体"/>
          <w:b/>
          <w:color w:val="0D0D0D"/>
          <w:sz w:val="30"/>
          <w:szCs w:val="30"/>
        </w:rPr>
      </w:pPr>
      <w:r>
        <w:rPr>
          <w:rFonts w:hint="eastAsia" w:ascii="宋体" w:hAnsi="宋体"/>
          <w:b/>
          <w:color w:val="0D0D0D"/>
          <w:sz w:val="30"/>
          <w:szCs w:val="30"/>
        </w:rPr>
        <w:t>供应商纳税信息登记</w:t>
      </w:r>
      <w:r>
        <w:rPr>
          <w:rFonts w:ascii="宋体" w:hAnsi="宋体"/>
          <w:b/>
          <w:color w:val="0D0D0D"/>
          <w:sz w:val="30"/>
          <w:szCs w:val="30"/>
        </w:rPr>
        <w:t>表</w:t>
      </w:r>
    </w:p>
    <w:p w14:paraId="0EFEB94B">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公司全称：</w:t>
      </w:r>
    </w:p>
    <w:p w14:paraId="5D172891">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纳税人识别号：</w:t>
      </w:r>
    </w:p>
    <w:p w14:paraId="5C7C36F7">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开户行名称：</w:t>
      </w:r>
    </w:p>
    <w:p w14:paraId="245577FA">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开户行行号：</w:t>
      </w:r>
    </w:p>
    <w:p w14:paraId="7DE867EA">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银行账户：</w:t>
      </w:r>
    </w:p>
    <w:p w14:paraId="57E781C1">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注册地址：</w:t>
      </w:r>
    </w:p>
    <w:p w14:paraId="6769ABCB">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联系电话：</w:t>
      </w:r>
    </w:p>
    <w:p w14:paraId="5BF06D0D">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所在城市：</w:t>
      </w:r>
    </w:p>
    <w:p w14:paraId="3194718D">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邮政编码：</w:t>
      </w:r>
    </w:p>
    <w:p w14:paraId="26D5024B">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Email地址：</w:t>
      </w:r>
    </w:p>
    <w:p w14:paraId="54C5C971">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类型（请用</w:t>
      </w:r>
      <w:r>
        <w:rPr>
          <w:rFonts w:hint="eastAsia" w:ascii="宋体" w:hAnsi="宋体"/>
          <w:b/>
          <w:color w:val="0D0D0D"/>
          <w:sz w:val="24"/>
        </w:rPr>
        <w:t>√</w:t>
      </w:r>
      <w:r>
        <w:rPr>
          <w:rFonts w:hint="eastAsia" w:ascii="宋体" w:hAnsi="宋体"/>
          <w:color w:val="0D0D0D"/>
          <w:sz w:val="24"/>
        </w:rPr>
        <w:t>勾选）：</w:t>
      </w:r>
    </w:p>
    <w:p w14:paraId="42CDD7DB">
      <w:pPr>
        <w:autoSpaceDE w:val="0"/>
        <w:autoSpaceDN w:val="0"/>
        <w:adjustRightInd w:val="0"/>
        <w:spacing w:before="120" w:after="120" w:line="300" w:lineRule="exact"/>
        <w:ind w:left="488"/>
        <w:rPr>
          <w:rFonts w:hint="eastAsia" w:ascii="宋体" w:hAnsi="宋体"/>
          <w:color w:val="0D0D0D"/>
          <w:sz w:val="24"/>
        </w:rPr>
      </w:pPr>
      <w:r>
        <w:rPr>
          <w:rFonts w:hint="eastAsia" w:ascii="宋体" w:hAnsi="宋体"/>
          <w:color w:val="0D0D0D"/>
          <w:sz w:val="24"/>
        </w:rPr>
        <w:t>① 一般纳税人（ ）</w:t>
      </w:r>
      <w:r>
        <w:rPr>
          <w:rFonts w:hint="eastAsia" w:ascii="宋体" w:hAnsi="宋体"/>
          <w:color w:val="0D0D0D"/>
          <w:sz w:val="24"/>
        </w:rPr>
        <w:tab/>
      </w:r>
      <w:r>
        <w:rPr>
          <w:rFonts w:hint="eastAsia" w:ascii="宋体" w:hAnsi="宋体"/>
          <w:color w:val="0D0D0D"/>
          <w:sz w:val="24"/>
        </w:rPr>
        <w:tab/>
      </w:r>
      <w:r>
        <w:rPr>
          <w:rFonts w:hint="eastAsia" w:ascii="宋体" w:hAnsi="宋体"/>
          <w:color w:val="0D0D0D"/>
          <w:sz w:val="24"/>
        </w:rPr>
        <w:tab/>
      </w:r>
      <w:r>
        <w:rPr>
          <w:rFonts w:hint="eastAsia" w:ascii="宋体" w:hAnsi="宋体"/>
          <w:color w:val="0D0D0D"/>
          <w:sz w:val="24"/>
        </w:rPr>
        <w:t>② 小规模纳税人（ ）</w:t>
      </w:r>
    </w:p>
    <w:p w14:paraId="6DDEC44C">
      <w:pPr>
        <w:autoSpaceDE w:val="0"/>
        <w:autoSpaceDN w:val="0"/>
        <w:adjustRightInd w:val="0"/>
        <w:spacing w:before="120" w:after="120" w:line="300" w:lineRule="exact"/>
        <w:ind w:left="488"/>
        <w:rPr>
          <w:rFonts w:hint="eastAsia" w:ascii="宋体" w:hAnsi="宋体"/>
          <w:color w:val="0D0D0D"/>
          <w:sz w:val="24"/>
        </w:rPr>
      </w:pPr>
      <w:r>
        <w:rPr>
          <w:rFonts w:hint="eastAsia" w:ascii="宋体" w:hAnsi="宋体"/>
          <w:color w:val="0D0D0D"/>
          <w:sz w:val="24"/>
        </w:rPr>
        <w:t>③ 境外机构供应商（ ）</w:t>
      </w:r>
      <w:r>
        <w:rPr>
          <w:rFonts w:hint="eastAsia" w:ascii="宋体" w:hAnsi="宋体"/>
          <w:color w:val="0D0D0D"/>
          <w:sz w:val="24"/>
        </w:rPr>
        <w:tab/>
      </w:r>
      <w:r>
        <w:rPr>
          <w:rFonts w:hint="eastAsia" w:ascii="宋体" w:hAnsi="宋体"/>
          <w:color w:val="0D0D0D"/>
          <w:sz w:val="24"/>
        </w:rPr>
        <w:tab/>
      </w:r>
      <w:r>
        <w:rPr>
          <w:rFonts w:hint="eastAsia" w:ascii="宋体" w:hAnsi="宋体"/>
          <w:color w:val="0D0D0D"/>
          <w:sz w:val="24"/>
        </w:rPr>
        <w:t>④ 个人（ ）</w:t>
      </w:r>
    </w:p>
    <w:p w14:paraId="161D8C5A">
      <w:pPr>
        <w:autoSpaceDE w:val="0"/>
        <w:autoSpaceDN w:val="0"/>
        <w:adjustRightInd w:val="0"/>
        <w:spacing w:before="120" w:after="120" w:line="300" w:lineRule="exact"/>
        <w:ind w:left="488"/>
        <w:rPr>
          <w:rFonts w:hint="eastAsia" w:ascii="宋体" w:hAnsi="宋体"/>
          <w:color w:val="0D0D0D"/>
          <w:sz w:val="24"/>
        </w:rPr>
      </w:pPr>
      <w:r>
        <w:rPr>
          <w:rFonts w:hint="eastAsia" w:ascii="宋体" w:hAnsi="宋体"/>
          <w:color w:val="0D0D0D"/>
          <w:sz w:val="24"/>
        </w:rPr>
        <w:t>⑤ 其他（ ）</w:t>
      </w:r>
    </w:p>
    <w:p w14:paraId="069E0C2D">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可开具发票类型及税率（请用</w:t>
      </w:r>
      <w:r>
        <w:rPr>
          <w:rFonts w:hint="eastAsia" w:ascii="宋体" w:hAnsi="宋体"/>
          <w:b/>
          <w:color w:val="0D0D0D"/>
          <w:sz w:val="24"/>
        </w:rPr>
        <w:t>√</w:t>
      </w:r>
      <w:r>
        <w:rPr>
          <w:rFonts w:hint="eastAsia" w:ascii="宋体" w:hAnsi="宋体"/>
          <w:color w:val="0D0D0D"/>
          <w:sz w:val="24"/>
        </w:rPr>
        <w:t>勾选）：</w:t>
      </w:r>
    </w:p>
    <w:p w14:paraId="7845C5A7">
      <w:pPr>
        <w:numPr>
          <w:ilvl w:val="0"/>
          <w:numId w:val="17"/>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D0D0D"/>
          <w:sz w:val="24"/>
        </w:rPr>
        <w:t xml:space="preserve"> 增值税专用发票（增值税一般纳税人）：</w:t>
      </w:r>
      <w:r>
        <w:rPr>
          <w:rFonts w:hint="eastAsia" w:ascii="宋体" w:hAnsi="宋体"/>
          <w:color w:val="000000"/>
          <w:sz w:val="24"/>
        </w:rPr>
        <w:t>6%( )，9%( )，13%( )；</w:t>
      </w:r>
    </w:p>
    <w:p w14:paraId="27BC976C">
      <w:pPr>
        <w:numPr>
          <w:ilvl w:val="0"/>
          <w:numId w:val="17"/>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00000"/>
          <w:sz w:val="24"/>
        </w:rPr>
        <w:t xml:space="preserve"> 税局代开的增值税专用发票（增值税小规模纳税人）：3%( )；</w:t>
      </w:r>
    </w:p>
    <w:p w14:paraId="0909D88A">
      <w:pPr>
        <w:numPr>
          <w:ilvl w:val="0"/>
          <w:numId w:val="17"/>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00000"/>
          <w:sz w:val="24"/>
        </w:rPr>
        <w:t xml:space="preserve"> 增值税普通发票：3%( )，6%(</w:t>
      </w:r>
      <w:r>
        <w:rPr>
          <w:rFonts w:hint="eastAsia" w:ascii="宋体" w:hAnsi="宋体"/>
          <w:b/>
          <w:color w:val="000000"/>
          <w:sz w:val="24"/>
        </w:rPr>
        <w:t xml:space="preserve"> </w:t>
      </w:r>
      <w:r>
        <w:rPr>
          <w:rFonts w:hint="eastAsia" w:ascii="宋体" w:hAnsi="宋体"/>
          <w:color w:val="000000"/>
          <w:sz w:val="24"/>
        </w:rPr>
        <w:t>)，9%( )，13%( )；</w:t>
      </w:r>
    </w:p>
    <w:p w14:paraId="59C4D27D">
      <w:pPr>
        <w:numPr>
          <w:ilvl w:val="0"/>
          <w:numId w:val="17"/>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00000"/>
          <w:sz w:val="24"/>
        </w:rPr>
        <w:t xml:space="preserve"> 通用机打发票（包括定额发票）：3%( )，6%( )，9%( )，13%( )；</w:t>
      </w:r>
    </w:p>
    <w:p w14:paraId="6ECBF3A1">
      <w:pPr>
        <w:numPr>
          <w:ilvl w:val="0"/>
          <w:numId w:val="17"/>
        </w:numPr>
        <w:autoSpaceDE w:val="0"/>
        <w:autoSpaceDN w:val="0"/>
        <w:adjustRightInd w:val="0"/>
        <w:spacing w:before="120" w:after="120" w:line="300" w:lineRule="exact"/>
        <w:ind w:left="488" w:firstLine="0"/>
        <w:rPr>
          <w:rFonts w:hint="eastAsia" w:ascii="宋体" w:hAnsi="宋体"/>
          <w:color w:val="0D0D0D"/>
          <w:sz w:val="24"/>
        </w:rPr>
      </w:pPr>
      <w:r>
        <w:rPr>
          <w:rFonts w:hint="eastAsia" w:ascii="宋体" w:hAnsi="宋体"/>
          <w:color w:val="000000"/>
          <w:sz w:val="24"/>
        </w:rPr>
        <w:t xml:space="preserve"> 境外货物销售单据（海关通用缴款书）：9%( )，13%( )；</w:t>
      </w:r>
    </w:p>
    <w:p w14:paraId="214E48BF">
      <w:pPr>
        <w:numPr>
          <w:ilvl w:val="0"/>
          <w:numId w:val="17"/>
        </w:numPr>
        <w:autoSpaceDE w:val="0"/>
        <w:autoSpaceDN w:val="0"/>
        <w:adjustRightInd w:val="0"/>
        <w:spacing w:before="120" w:after="120" w:line="300" w:lineRule="exact"/>
        <w:ind w:left="488" w:firstLine="0"/>
        <w:rPr>
          <w:rFonts w:hint="eastAsia" w:ascii="宋体" w:hAnsi="宋体"/>
          <w:color w:val="0D0D0D"/>
          <w:sz w:val="24"/>
        </w:rPr>
      </w:pPr>
      <w:r>
        <w:rPr>
          <w:rFonts w:hint="eastAsia" w:ascii="宋体" w:hAnsi="宋体"/>
          <w:color w:val="0D0D0D"/>
          <w:sz w:val="24"/>
        </w:rPr>
        <w:t xml:space="preserve"> 境外服务单据（代扣代缴增值税缴款书）：6%( )，13%( )。</w:t>
      </w:r>
    </w:p>
    <w:p w14:paraId="53499889">
      <w:pPr>
        <w:numPr>
          <w:ilvl w:val="0"/>
          <w:numId w:val="16"/>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增加开具适用税率的增值税专用发票：（针对上条中③④⑤⑥）</w:t>
      </w:r>
    </w:p>
    <w:p w14:paraId="4BA6B1D3">
      <w:pPr>
        <w:autoSpaceDE w:val="0"/>
        <w:autoSpaceDN w:val="0"/>
        <w:adjustRightInd w:val="0"/>
        <w:spacing w:after="200" w:line="276" w:lineRule="auto"/>
        <w:ind w:firstLine="480"/>
        <w:rPr>
          <w:rFonts w:hint="eastAsia" w:ascii="宋体" w:hAnsi="宋体"/>
          <w:color w:val="0D0D0D"/>
          <w:sz w:val="24"/>
        </w:rPr>
        <w:sectPr>
          <w:pgSz w:w="11906" w:h="16838"/>
          <w:pgMar w:top="1440" w:right="1797" w:bottom="1440" w:left="1797" w:header="851" w:footer="907" w:gutter="0"/>
          <w:cols w:space="425" w:num="1"/>
          <w:docGrid w:type="lines" w:linePitch="312" w:charSpace="0"/>
        </w:sectPr>
      </w:pPr>
      <w:r>
        <w:rPr>
          <w:rFonts w:hint="eastAsia" w:ascii="宋体" w:hAnsi="宋体"/>
          <w:color w:val="0D0D0D"/>
          <w:sz w:val="24"/>
        </w:rPr>
        <w:t>如采购方要求就当前的商务条款下，增加开具适用税率的增值税专用发票要求，供应商是否能够开具？如不能开具，请说明理由。</w:t>
      </w:r>
    </w:p>
    <w:bookmarkEnd w:id="249"/>
    <w:bookmarkEnd w:id="250"/>
    <w:p w14:paraId="1A5FF12B">
      <w:pPr>
        <w:pStyle w:val="3"/>
        <w:rPr>
          <w:rFonts w:hint="default" w:eastAsia="黑体"/>
          <w:bCs/>
          <w:lang w:val="en-US" w:eastAsia="zh-CN"/>
        </w:rPr>
      </w:pPr>
      <w:bookmarkStart w:id="251" w:name="_Toc184805410"/>
      <w:bookmarkStart w:id="252" w:name="_Toc31290"/>
      <w:r>
        <w:rPr>
          <w:rFonts w:hint="eastAsia"/>
          <w:bCs/>
          <w:highlight w:val="yellow"/>
        </w:rPr>
        <w:t>附件5：国盛期货机柜维护服务框架采购项目</w:t>
      </w:r>
      <w:bookmarkEnd w:id="251"/>
      <w:r>
        <w:rPr>
          <w:rFonts w:hint="eastAsia"/>
          <w:bCs/>
          <w:highlight w:val="yellow"/>
          <w:lang w:val="en-US" w:eastAsia="zh-CN"/>
        </w:rPr>
        <w:t>需求</w:t>
      </w:r>
      <w:bookmarkEnd w:id="252"/>
    </w:p>
    <w:p w14:paraId="1230367B">
      <w:pPr>
        <w:numPr>
          <w:ilvl w:val="0"/>
          <w:numId w:val="18"/>
        </w:numPr>
        <w:autoSpaceDE w:val="0"/>
        <w:autoSpaceDN w:val="0"/>
        <w:adjustRightInd w:val="0"/>
        <w:spacing w:after="200" w:line="276" w:lineRule="auto"/>
        <w:ind w:left="425" w:hanging="425"/>
        <w:rPr>
          <w:rFonts w:hint="eastAsia" w:ascii="宋体" w:hAnsi="宋体" w:eastAsia="宋体" w:cs="宋体"/>
          <w:bCs/>
          <w:sz w:val="24"/>
          <w:szCs w:val="24"/>
        </w:rPr>
      </w:pPr>
      <w:r>
        <w:rPr>
          <w:rFonts w:hint="eastAsia" w:ascii="宋体" w:hAnsi="宋体" w:eastAsia="宋体" w:cs="宋体"/>
          <w:sz w:val="24"/>
          <w:szCs w:val="24"/>
        </w:rPr>
        <w:t>采购</w:t>
      </w:r>
      <w:r>
        <w:rPr>
          <w:rFonts w:hint="eastAsia" w:ascii="宋体" w:hAnsi="宋体" w:eastAsia="宋体" w:cs="宋体"/>
          <w:sz w:val="24"/>
          <w:szCs w:val="24"/>
          <w:lang w:val="en-US" w:eastAsia="zh-CN"/>
        </w:rPr>
        <w:t>需求</w:t>
      </w:r>
      <w:r>
        <w:rPr>
          <w:rFonts w:hint="eastAsia" w:ascii="宋体" w:hAnsi="宋体" w:eastAsia="宋体" w:cs="宋体"/>
          <w:sz w:val="24"/>
          <w:szCs w:val="24"/>
        </w:rPr>
        <w:t>如下：</w:t>
      </w:r>
      <w:r>
        <w:rPr>
          <w:rFonts w:hint="eastAsia" w:ascii="宋体" w:hAnsi="宋体" w:eastAsia="宋体" w:cs="宋体"/>
          <w:bCs/>
          <w:sz w:val="24"/>
          <w:szCs w:val="24"/>
        </w:rPr>
        <w:t xml:space="preserve"> </w:t>
      </w:r>
    </w:p>
    <w:tbl>
      <w:tblPr>
        <w:tblStyle w:val="27"/>
        <w:tblW w:w="487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9"/>
        <w:gridCol w:w="1885"/>
        <w:gridCol w:w="5041"/>
        <w:gridCol w:w="893"/>
      </w:tblGrid>
      <w:tr w14:paraId="6632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94"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5C148D17">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34"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63E2395F">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采购标的名称</w:t>
            </w:r>
          </w:p>
        </w:tc>
        <w:tc>
          <w:tcPr>
            <w:tcW w:w="3032"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575C48E3">
            <w:pPr>
              <w:keepNext w:val="0"/>
              <w:keepLines w:val="0"/>
              <w:widowControl/>
              <w:suppressLineNumbers w:val="0"/>
              <w:ind w:left="0" w:leftChars="0" w:firstLine="0" w:firstLineChars="0"/>
              <w:jc w:val="left"/>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采购标的配置描述</w:t>
            </w:r>
          </w:p>
        </w:tc>
        <w:tc>
          <w:tcPr>
            <w:tcW w:w="537"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47116E0C">
            <w:pPr>
              <w:keepNext w:val="0"/>
              <w:keepLines w:val="0"/>
              <w:widowControl/>
              <w:suppressLineNumbers w:val="0"/>
              <w:ind w:left="0" w:leftChars="0" w:firstLine="0" w:firstLineChars="0"/>
              <w:jc w:val="left"/>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数量</w:t>
            </w:r>
          </w:p>
        </w:tc>
      </w:tr>
      <w:tr w14:paraId="2903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8"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A0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1084">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lang w:val="en-US"/>
              </w:rPr>
            </w:pPr>
            <w:r>
              <w:rPr>
                <w:rFonts w:hint="eastAsia" w:ascii="宋体" w:hAnsi="宋体"/>
                <w:color w:val="000000"/>
                <w:highlight w:val="none"/>
                <w:lang w:val="en-US" w:eastAsia="zh-CN"/>
              </w:rPr>
              <w:t>单机柜维护服务</w:t>
            </w:r>
          </w:p>
        </w:tc>
        <w:tc>
          <w:tcPr>
            <w:tcW w:w="3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53F5">
            <w:pPr>
              <w:widowControl/>
              <w:textAlignment w:val="center"/>
              <w:rPr>
                <w:rFonts w:hint="eastAsia" w:ascii="宋体" w:hAnsi="宋体" w:eastAsia="宋体" w:cs="Times New Roman"/>
                <w:color w:val="000000"/>
                <w:kern w:val="0"/>
                <w:highlight w:val="none"/>
                <w:lang w:val="en-US" w:eastAsia="zh-CN" w:bidi="ar"/>
              </w:rPr>
            </w:pPr>
            <w:r>
              <w:rPr>
                <w:rFonts w:hint="eastAsia" w:ascii="宋体" w:hAnsi="宋体" w:eastAsia="宋体" w:cs="Times New Roman"/>
                <w:color w:val="000000"/>
                <w:kern w:val="0"/>
                <w:highlight w:val="none"/>
                <w:lang w:val="en-US" w:eastAsia="zh-CN" w:bidi="ar"/>
              </w:rPr>
              <w:t>包括但不限于：</w:t>
            </w:r>
          </w:p>
          <w:p w14:paraId="1DBDCA72">
            <w:pPr>
              <w:widowControl/>
              <w:textAlignment w:val="center"/>
              <w:rPr>
                <w:rFonts w:hint="eastAsia" w:ascii="宋体" w:hAnsi="宋体" w:eastAsia="宋体" w:cs="Times New Roman"/>
                <w:color w:val="000000"/>
                <w:kern w:val="0"/>
                <w:highlight w:val="none"/>
                <w:lang w:bidi="ar"/>
              </w:rPr>
            </w:pPr>
            <w:r>
              <w:rPr>
                <w:rFonts w:hint="eastAsia" w:ascii="宋体" w:hAnsi="宋体" w:eastAsia="宋体" w:cs="Times New Roman"/>
                <w:color w:val="000000"/>
                <w:kern w:val="0"/>
                <w:highlight w:val="none"/>
                <w:lang w:bidi="ar"/>
              </w:rPr>
              <w:t xml:space="preserve">1.日常运行管理 （设备检查、系统日常巡检、客户端操作支持） </w:t>
            </w:r>
          </w:p>
          <w:p w14:paraId="66C63B3F">
            <w:pPr>
              <w:widowControl/>
              <w:textAlignment w:val="center"/>
              <w:rPr>
                <w:rFonts w:hint="eastAsia" w:ascii="宋体" w:hAnsi="宋体" w:eastAsia="宋体" w:cs="Times New Roman"/>
                <w:color w:val="000000"/>
                <w:kern w:val="0"/>
                <w:highlight w:val="none"/>
                <w:lang w:bidi="ar"/>
              </w:rPr>
            </w:pPr>
            <w:r>
              <w:rPr>
                <w:rFonts w:hint="eastAsia" w:ascii="宋体" w:hAnsi="宋体" w:eastAsia="宋体" w:cs="Times New Roman"/>
                <w:color w:val="000000"/>
                <w:kern w:val="0"/>
                <w:highlight w:val="none"/>
                <w:lang w:bidi="ar"/>
              </w:rPr>
              <w:t>2.硬件设备维护 （故障排除、设备修复、配件支持）</w:t>
            </w:r>
          </w:p>
          <w:p w14:paraId="1D98802F">
            <w:pPr>
              <w:widowControl/>
              <w:textAlignment w:val="center"/>
              <w:rPr>
                <w:rFonts w:hint="eastAsia" w:ascii="宋体" w:hAnsi="宋体" w:eastAsia="宋体" w:cs="Times New Roman"/>
                <w:color w:val="000000"/>
                <w:kern w:val="0"/>
                <w:highlight w:val="none"/>
                <w:lang w:bidi="ar"/>
              </w:rPr>
            </w:pPr>
            <w:r>
              <w:rPr>
                <w:rFonts w:hint="eastAsia" w:ascii="宋体" w:hAnsi="宋体" w:eastAsia="宋体" w:cs="Times New Roman"/>
                <w:color w:val="000000"/>
                <w:kern w:val="0"/>
                <w:highlight w:val="none"/>
                <w:lang w:bidi="ar"/>
              </w:rPr>
              <w:t>3.产品软件维护 （更新升级、安装调试、系统恢复）</w:t>
            </w:r>
          </w:p>
          <w:p w14:paraId="068394D2">
            <w:pPr>
              <w:widowControl/>
              <w:textAlignment w:val="center"/>
              <w:rPr>
                <w:rFonts w:hint="eastAsia" w:ascii="宋体" w:hAnsi="宋体" w:eastAsia="宋体" w:cs="Times New Roman"/>
                <w:color w:val="000000"/>
                <w:kern w:val="0"/>
                <w:highlight w:val="none"/>
                <w:lang w:bidi="ar"/>
              </w:rPr>
            </w:pPr>
            <w:r>
              <w:rPr>
                <w:rFonts w:hint="eastAsia" w:ascii="宋体" w:hAnsi="宋体" w:eastAsia="宋体" w:cs="Times New Roman"/>
                <w:color w:val="000000"/>
                <w:kern w:val="0"/>
                <w:highlight w:val="none"/>
                <w:lang w:bidi="ar"/>
              </w:rPr>
              <w:t xml:space="preserve">4.网络设备维护 （网络诊断、故障排除、参数设置、性能优化） </w:t>
            </w:r>
          </w:p>
          <w:p w14:paraId="6837231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Times New Roman"/>
                <w:color w:val="000000"/>
                <w:kern w:val="0"/>
                <w:highlight w:val="none"/>
                <w:lang w:bidi="ar"/>
              </w:rPr>
              <w:t>5.其他维护服务：    维护期内</w:t>
            </w:r>
            <w:r>
              <w:rPr>
                <w:rFonts w:hint="eastAsia" w:ascii="宋体" w:hAnsi="宋体" w:eastAsia="宋体" w:cs="Times New Roman"/>
                <w:color w:val="000000"/>
                <w:kern w:val="0"/>
                <w:highlight w:val="none"/>
                <w:lang w:val="en-US" w:eastAsia="zh-CN" w:bidi="ar"/>
              </w:rPr>
              <w:t>机柜</w:t>
            </w:r>
            <w:r>
              <w:rPr>
                <w:rFonts w:hint="eastAsia" w:ascii="宋体" w:hAnsi="宋体" w:eastAsia="宋体" w:cs="Times New Roman"/>
                <w:color w:val="000000"/>
                <w:kern w:val="0"/>
                <w:highlight w:val="none"/>
                <w:lang w:bidi="ar"/>
              </w:rPr>
              <w:t xml:space="preserve">新增的设备维护 </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459D5">
            <w:pPr>
              <w:keepNext w:val="0"/>
              <w:keepLines w:val="0"/>
              <w:widowControl/>
              <w:suppressLineNumbers w:val="0"/>
              <w:ind w:left="0" w:leftChars="0" w:firstLine="0" w:firstLineChars="0"/>
              <w:jc w:val="both"/>
              <w:textAlignment w:val="center"/>
              <w:rPr>
                <w:rFonts w:hint="default" w:ascii="等线" w:hAnsi="等线" w:eastAsia="等线" w:cs="宋体"/>
                <w:kern w:val="2"/>
                <w:highlight w:val="none"/>
                <w:lang w:val="en-US" w:eastAsia="zh-CN" w:bidi="ar"/>
              </w:rPr>
            </w:pPr>
            <w:r>
              <w:rPr>
                <w:rFonts w:hint="eastAsia" w:ascii="等线" w:hAnsi="等线" w:eastAsia="等线" w:cs="宋体"/>
                <w:kern w:val="2"/>
                <w:highlight w:val="none"/>
                <w:lang w:val="en-US" w:eastAsia="zh-CN" w:bidi="ar"/>
              </w:rPr>
              <w:t>30</w:t>
            </w:r>
          </w:p>
        </w:tc>
      </w:tr>
      <w:tr w14:paraId="21D06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F64A0">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7789">
            <w:pPr>
              <w:keepNext w:val="0"/>
              <w:keepLines w:val="0"/>
              <w:widowControl/>
              <w:suppressLineNumbers w:val="0"/>
              <w:ind w:left="0" w:leftChars="0" w:firstLine="0" w:firstLineChars="0"/>
              <w:jc w:val="left"/>
              <w:textAlignment w:val="center"/>
              <w:rPr>
                <w:rFonts w:hint="eastAsia" w:ascii="宋体" w:hAnsi="宋体" w:cs="Times New Roman"/>
                <w:i w:val="0"/>
                <w:iCs w:val="0"/>
                <w:color w:val="000000"/>
                <w:sz w:val="21"/>
                <w:szCs w:val="21"/>
                <w:highlight w:val="none"/>
                <w:u w:val="none"/>
                <w:lang w:val="en-US" w:eastAsia="zh-CN" w:bidi="ar"/>
              </w:rPr>
            </w:pPr>
            <w:r>
              <w:rPr>
                <w:rFonts w:hint="eastAsia" w:ascii="宋体" w:hAnsi="宋体" w:cs="宋体"/>
                <w:bCs/>
                <w:sz w:val="24"/>
                <w:szCs w:val="24"/>
                <w:lang w:val="en-US" w:eastAsia="zh-CN"/>
              </w:rPr>
              <w:t>维护</w:t>
            </w:r>
            <w:r>
              <w:rPr>
                <w:rFonts w:hint="eastAsia" w:ascii="宋体" w:hAnsi="宋体" w:cs="宋体"/>
                <w:bCs/>
                <w:sz w:val="24"/>
                <w:szCs w:val="24"/>
              </w:rPr>
              <w:t>服务期限</w:t>
            </w:r>
          </w:p>
        </w:tc>
        <w:tc>
          <w:tcPr>
            <w:tcW w:w="3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18BF">
            <w:pPr>
              <w:keepNext w:val="0"/>
              <w:keepLines w:val="0"/>
              <w:widowControl/>
              <w:numPr>
                <w:ilvl w:val="0"/>
                <w:numId w:val="0"/>
              </w:numPr>
              <w:suppressLineNumbers w:val="0"/>
              <w:autoSpaceDE w:val="0"/>
              <w:autoSpaceDN w:val="0"/>
              <w:adjustRightInd w:val="0"/>
              <w:spacing w:after="200" w:line="276" w:lineRule="auto"/>
              <w:ind w:left="0" w:leftChars="0" w:firstLine="0" w:firstLineChars="0"/>
              <w:jc w:val="left"/>
              <w:textAlignment w:val="auto"/>
              <w:rPr>
                <w:rFonts w:hint="eastAsia" w:ascii="宋体" w:hAnsi="宋体" w:cs="Times New Roman"/>
                <w:i w:val="0"/>
                <w:iCs w:val="0"/>
                <w:color w:val="000000"/>
                <w:sz w:val="21"/>
                <w:szCs w:val="21"/>
                <w:highlight w:val="none"/>
                <w:u w:val="none"/>
                <w:lang w:val="en-US" w:eastAsia="zh-CN" w:bidi="ar"/>
              </w:rPr>
            </w:pPr>
            <w:r>
              <w:rPr>
                <w:rFonts w:hint="eastAsia" w:ascii="宋体" w:hAnsi="宋体" w:cs="宋体"/>
                <w:bCs/>
                <w:sz w:val="24"/>
                <w:szCs w:val="24"/>
              </w:rPr>
              <w:t>202</w:t>
            </w:r>
            <w:r>
              <w:rPr>
                <w:rFonts w:hint="eastAsia" w:ascii="宋体" w:hAnsi="宋体" w:cs="宋体"/>
                <w:bCs/>
                <w:sz w:val="24"/>
                <w:szCs w:val="24"/>
                <w:lang w:val="en-US" w:eastAsia="zh-CN"/>
              </w:rPr>
              <w:t>6</w:t>
            </w:r>
            <w:r>
              <w:rPr>
                <w:rFonts w:hint="eastAsia" w:ascii="宋体" w:hAnsi="宋体" w:cs="宋体"/>
                <w:bCs/>
                <w:sz w:val="24"/>
                <w:szCs w:val="24"/>
              </w:rPr>
              <w:t>年9月</w:t>
            </w:r>
            <w:r>
              <w:rPr>
                <w:rFonts w:hint="eastAsia" w:ascii="宋体" w:hAnsi="宋体" w:cs="宋体"/>
                <w:bCs/>
                <w:sz w:val="24"/>
                <w:szCs w:val="24"/>
                <w:lang w:val="en-US" w:eastAsia="zh-CN"/>
              </w:rPr>
              <w:t>15</w:t>
            </w:r>
            <w:r>
              <w:rPr>
                <w:rFonts w:hint="eastAsia" w:ascii="宋体" w:hAnsi="宋体" w:cs="宋体"/>
                <w:bCs/>
                <w:sz w:val="24"/>
                <w:szCs w:val="24"/>
              </w:rPr>
              <w:t>日至202</w:t>
            </w:r>
            <w:r>
              <w:rPr>
                <w:rFonts w:hint="eastAsia" w:ascii="宋体" w:hAnsi="宋体" w:cs="宋体"/>
                <w:bCs/>
                <w:sz w:val="24"/>
                <w:szCs w:val="24"/>
                <w:lang w:val="en-US" w:eastAsia="zh-CN"/>
              </w:rPr>
              <w:t>7</w:t>
            </w:r>
            <w:r>
              <w:rPr>
                <w:rFonts w:hint="eastAsia" w:ascii="宋体" w:hAnsi="宋体" w:cs="宋体"/>
                <w:bCs/>
                <w:sz w:val="24"/>
                <w:szCs w:val="24"/>
              </w:rPr>
              <w:t>年</w:t>
            </w:r>
            <w:r>
              <w:rPr>
                <w:rFonts w:hint="eastAsia" w:ascii="宋体" w:hAnsi="宋体" w:cs="宋体"/>
                <w:bCs/>
                <w:sz w:val="24"/>
                <w:szCs w:val="24"/>
                <w:lang w:val="en-US" w:eastAsia="zh-CN"/>
              </w:rPr>
              <w:t>9</w:t>
            </w:r>
            <w:r>
              <w:rPr>
                <w:rFonts w:hint="eastAsia" w:ascii="宋体" w:hAnsi="宋体" w:cs="宋体"/>
                <w:bCs/>
                <w:sz w:val="24"/>
                <w:szCs w:val="24"/>
              </w:rPr>
              <w:t>月</w:t>
            </w:r>
            <w:r>
              <w:rPr>
                <w:rFonts w:hint="eastAsia" w:ascii="宋体" w:hAnsi="宋体" w:cs="宋体"/>
                <w:bCs/>
                <w:sz w:val="24"/>
                <w:szCs w:val="24"/>
                <w:lang w:val="en-US" w:eastAsia="zh-CN"/>
              </w:rPr>
              <w:t>14</w:t>
            </w:r>
            <w:r>
              <w:rPr>
                <w:rFonts w:hint="eastAsia" w:ascii="宋体" w:hAnsi="宋体" w:cs="宋体"/>
                <w:bCs/>
                <w:sz w:val="24"/>
                <w:szCs w:val="24"/>
              </w:rPr>
              <w:t>日止。</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90E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p>
        </w:tc>
      </w:tr>
      <w:tr w14:paraId="554F5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658B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1B67">
            <w:pPr>
              <w:keepNext w:val="0"/>
              <w:keepLines w:val="0"/>
              <w:widowControl/>
              <w:suppressLineNumbers w:val="0"/>
              <w:ind w:left="0" w:leftChars="0" w:firstLine="0" w:firstLineChars="0"/>
              <w:jc w:val="left"/>
              <w:textAlignment w:val="center"/>
              <w:rPr>
                <w:rFonts w:hint="eastAsia" w:ascii="宋体" w:hAnsi="宋体" w:eastAsia="宋体" w:cs="Times New Roman"/>
                <w:i w:val="0"/>
                <w:iCs w:val="0"/>
                <w:color w:val="000000"/>
                <w:sz w:val="21"/>
                <w:szCs w:val="21"/>
                <w:highlight w:val="none"/>
                <w:u w:val="none"/>
                <w:lang w:val="en-US" w:eastAsia="zh-CN" w:bidi="ar"/>
              </w:rPr>
            </w:pPr>
            <w:r>
              <w:rPr>
                <w:rFonts w:hint="eastAsia" w:ascii="宋体" w:hAnsi="宋体" w:cs="Times New Roman"/>
                <w:i w:val="0"/>
                <w:iCs w:val="0"/>
                <w:color w:val="000000"/>
                <w:sz w:val="21"/>
                <w:szCs w:val="21"/>
                <w:highlight w:val="none"/>
                <w:u w:val="none"/>
                <w:lang w:val="en-US" w:eastAsia="zh-CN" w:bidi="ar"/>
              </w:rPr>
              <w:t>框架条款</w:t>
            </w:r>
          </w:p>
        </w:tc>
        <w:tc>
          <w:tcPr>
            <w:tcW w:w="3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C081">
            <w:pPr>
              <w:keepNext w:val="0"/>
              <w:keepLines w:val="0"/>
              <w:widowControl/>
              <w:suppressLineNumbers w:val="0"/>
              <w:ind w:left="0" w:leftChars="0" w:firstLine="0" w:firstLineChars="0"/>
              <w:jc w:val="left"/>
              <w:textAlignment w:val="center"/>
              <w:rPr>
                <w:rFonts w:hint="eastAsia" w:ascii="宋体" w:hAnsi="宋体" w:eastAsia="宋体" w:cs="Times New Roman"/>
                <w:i w:val="0"/>
                <w:iCs w:val="0"/>
                <w:color w:val="000000"/>
                <w:sz w:val="21"/>
                <w:szCs w:val="21"/>
                <w:highlight w:val="none"/>
                <w:u w:val="none"/>
                <w:lang w:bidi="ar"/>
              </w:rPr>
            </w:pPr>
            <w:r>
              <w:rPr>
                <w:rFonts w:hint="eastAsia" w:ascii="宋体" w:hAnsi="宋体" w:cs="Times New Roman"/>
                <w:i w:val="0"/>
                <w:iCs w:val="0"/>
                <w:color w:val="000000"/>
                <w:sz w:val="21"/>
                <w:szCs w:val="21"/>
                <w:highlight w:val="none"/>
                <w:u w:val="none"/>
                <w:lang w:val="en-US" w:eastAsia="zh-CN" w:bidi="ar"/>
              </w:rPr>
              <w:t>每年</w:t>
            </w:r>
            <w:r>
              <w:rPr>
                <w:rFonts w:hint="eastAsia" w:ascii="宋体" w:hAnsi="宋体" w:eastAsia="宋体" w:cs="Times New Roman"/>
                <w:i w:val="0"/>
                <w:iCs w:val="0"/>
                <w:color w:val="000000"/>
                <w:sz w:val="21"/>
                <w:szCs w:val="21"/>
                <w:highlight w:val="none"/>
                <w:u w:val="none"/>
                <w:lang w:bidi="ar"/>
              </w:rPr>
              <w:t>合同到期前，在</w:t>
            </w:r>
            <w:r>
              <w:rPr>
                <w:rFonts w:hint="eastAsia" w:ascii="宋体" w:hAnsi="宋体" w:cs="Times New Roman"/>
                <w:i w:val="0"/>
                <w:iCs w:val="0"/>
                <w:color w:val="000000"/>
                <w:sz w:val="21"/>
                <w:szCs w:val="21"/>
                <w:highlight w:val="none"/>
                <w:u w:val="none"/>
                <w:lang w:val="en-US" w:eastAsia="zh-CN" w:bidi="ar"/>
              </w:rPr>
              <w:t>标的</w:t>
            </w:r>
            <w:r>
              <w:rPr>
                <w:rFonts w:hint="eastAsia" w:ascii="宋体" w:hAnsi="宋体" w:eastAsia="宋体" w:cs="Times New Roman"/>
                <w:i w:val="0"/>
                <w:iCs w:val="0"/>
                <w:color w:val="000000"/>
                <w:sz w:val="21"/>
                <w:szCs w:val="21"/>
                <w:highlight w:val="none"/>
                <w:u w:val="none"/>
                <w:lang w:bidi="ar"/>
              </w:rPr>
              <w:t>价格不高于本</w:t>
            </w:r>
            <w:r>
              <w:rPr>
                <w:rFonts w:hint="eastAsia" w:ascii="宋体" w:hAnsi="宋体" w:cs="Times New Roman"/>
                <w:i w:val="0"/>
                <w:iCs w:val="0"/>
                <w:color w:val="000000"/>
                <w:sz w:val="21"/>
                <w:szCs w:val="21"/>
                <w:highlight w:val="none"/>
                <w:u w:val="none"/>
                <w:lang w:val="en-US" w:eastAsia="zh-CN" w:bidi="ar"/>
              </w:rPr>
              <w:t>次采购</w:t>
            </w:r>
            <w:r>
              <w:rPr>
                <w:rFonts w:hint="eastAsia" w:ascii="宋体" w:hAnsi="宋体" w:eastAsia="宋体" w:cs="Times New Roman"/>
                <w:i w:val="0"/>
                <w:iCs w:val="0"/>
                <w:color w:val="000000"/>
                <w:sz w:val="21"/>
                <w:szCs w:val="21"/>
                <w:highlight w:val="none"/>
                <w:u w:val="none"/>
                <w:lang w:bidi="ar"/>
              </w:rPr>
              <w:t>的情况下，乙方可提前1个月与甲方主动协商</w:t>
            </w:r>
            <w:r>
              <w:rPr>
                <w:rFonts w:hint="eastAsia" w:ascii="宋体" w:hAnsi="宋体" w:cs="Times New Roman"/>
                <w:i w:val="0"/>
                <w:iCs w:val="0"/>
                <w:color w:val="000000"/>
                <w:sz w:val="21"/>
                <w:szCs w:val="21"/>
                <w:highlight w:val="none"/>
                <w:u w:val="none"/>
                <w:lang w:val="en-US" w:eastAsia="zh-CN" w:bidi="ar"/>
              </w:rPr>
              <w:t>合同</w:t>
            </w:r>
            <w:r>
              <w:rPr>
                <w:rFonts w:hint="eastAsia" w:ascii="宋体" w:hAnsi="宋体" w:eastAsia="宋体" w:cs="Times New Roman"/>
                <w:i w:val="0"/>
                <w:iCs w:val="0"/>
                <w:color w:val="000000"/>
                <w:sz w:val="21"/>
                <w:szCs w:val="21"/>
                <w:highlight w:val="none"/>
                <w:u w:val="none"/>
                <w:lang w:bidi="ar"/>
              </w:rPr>
              <w:t>续签事宜，经双方协商无异议后，可依据</w:t>
            </w:r>
            <w:r>
              <w:rPr>
                <w:rFonts w:hint="eastAsia" w:ascii="宋体" w:hAnsi="宋体" w:cs="Times New Roman"/>
                <w:i w:val="0"/>
                <w:iCs w:val="0"/>
                <w:color w:val="000000"/>
                <w:sz w:val="21"/>
                <w:szCs w:val="21"/>
                <w:highlight w:val="none"/>
                <w:u w:val="none"/>
                <w:lang w:val="en-US" w:eastAsia="zh-CN" w:bidi="ar"/>
              </w:rPr>
              <w:t>届时</w:t>
            </w:r>
            <w:r>
              <w:rPr>
                <w:rFonts w:hint="eastAsia" w:ascii="宋体" w:hAnsi="宋体" w:eastAsia="宋体" w:cs="Times New Roman"/>
                <w:i w:val="0"/>
                <w:iCs w:val="0"/>
                <w:color w:val="000000"/>
                <w:sz w:val="21"/>
                <w:szCs w:val="21"/>
                <w:highlight w:val="none"/>
                <w:u w:val="none"/>
                <w:lang w:bidi="ar"/>
              </w:rPr>
              <w:t>最新服务标的</w:t>
            </w:r>
            <w:r>
              <w:rPr>
                <w:rFonts w:hint="eastAsia" w:ascii="宋体" w:hAnsi="宋体" w:cs="Times New Roman"/>
                <w:i w:val="0"/>
                <w:iCs w:val="0"/>
                <w:color w:val="000000"/>
                <w:sz w:val="21"/>
                <w:szCs w:val="21"/>
                <w:highlight w:val="none"/>
                <w:u w:val="none"/>
                <w:lang w:val="en-US" w:eastAsia="zh-CN" w:bidi="ar"/>
              </w:rPr>
              <w:t>数量</w:t>
            </w:r>
            <w:r>
              <w:rPr>
                <w:rFonts w:hint="eastAsia" w:ascii="宋体" w:hAnsi="宋体" w:eastAsia="宋体" w:cs="Times New Roman"/>
                <w:i w:val="0"/>
                <w:iCs w:val="0"/>
                <w:color w:val="000000"/>
                <w:sz w:val="21"/>
                <w:szCs w:val="21"/>
                <w:highlight w:val="none"/>
                <w:u w:val="none"/>
                <w:lang w:bidi="ar"/>
              </w:rPr>
              <w:t>重新签订</w:t>
            </w:r>
            <w:r>
              <w:rPr>
                <w:rFonts w:hint="eastAsia" w:ascii="宋体" w:hAnsi="宋体" w:cs="Times New Roman"/>
                <w:i w:val="0"/>
                <w:iCs w:val="0"/>
                <w:color w:val="000000"/>
                <w:sz w:val="21"/>
                <w:szCs w:val="21"/>
                <w:highlight w:val="none"/>
                <w:u w:val="none"/>
                <w:lang w:val="en-US" w:eastAsia="zh-CN" w:bidi="ar"/>
              </w:rPr>
              <w:t>一</w:t>
            </w:r>
            <w:r>
              <w:rPr>
                <w:rFonts w:hint="eastAsia" w:ascii="宋体" w:hAnsi="宋体" w:eastAsia="宋体" w:cs="Times New Roman"/>
                <w:i w:val="0"/>
                <w:iCs w:val="0"/>
                <w:color w:val="000000"/>
                <w:sz w:val="21"/>
                <w:szCs w:val="21"/>
                <w:highlight w:val="none"/>
                <w:u w:val="none"/>
                <w:lang w:bidi="ar"/>
              </w:rPr>
              <w:t>次合同。</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D4BB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p>
        </w:tc>
      </w:tr>
    </w:tbl>
    <w:p w14:paraId="204EA4E2">
      <w:pPr>
        <w:numPr>
          <w:ilvl w:val="0"/>
          <w:numId w:val="18"/>
        </w:numPr>
        <w:tabs>
          <w:tab w:val="left" w:pos="1050"/>
        </w:tabs>
        <w:autoSpaceDE w:val="0"/>
        <w:autoSpaceDN w:val="0"/>
        <w:adjustRightInd w:val="0"/>
        <w:spacing w:after="200" w:line="276" w:lineRule="auto"/>
        <w:ind w:left="425" w:hanging="425"/>
        <w:rPr>
          <w:rFonts w:hint="eastAsia" w:ascii="宋体" w:hAnsi="宋体" w:eastAsia="宋体" w:cs="宋体"/>
          <w:bCs/>
          <w:sz w:val="24"/>
          <w:szCs w:val="24"/>
        </w:rPr>
      </w:pPr>
      <w:r>
        <w:rPr>
          <w:rFonts w:hint="eastAsia" w:ascii="宋体" w:hAnsi="宋体" w:eastAsia="宋体" w:cs="宋体"/>
          <w:sz w:val="24"/>
          <w:szCs w:val="24"/>
        </w:rPr>
        <w:t>采购</w:t>
      </w:r>
      <w:r>
        <w:rPr>
          <w:rFonts w:hint="eastAsia" w:ascii="宋体" w:hAnsi="宋体" w:cs="宋体"/>
          <w:sz w:val="24"/>
          <w:szCs w:val="24"/>
          <w:lang w:val="en-US" w:eastAsia="zh-CN"/>
        </w:rPr>
        <w:t>标的维护服务要求如下：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6"/>
        <w:gridCol w:w="5759"/>
      </w:tblGrid>
      <w:tr w14:paraId="4025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596" w:type="dxa"/>
            <w:noWrap w:val="0"/>
            <w:vAlign w:val="top"/>
          </w:tcPr>
          <w:p w14:paraId="58109EB0">
            <w:pPr>
              <w:jc w:val="center"/>
              <w:rPr>
                <w:rFonts w:hint="eastAsia" w:ascii="宋体" w:hAnsi="宋体" w:eastAsia="宋体" w:cs="宋体"/>
                <w:b/>
                <w:color w:val="auto"/>
                <w:kern w:val="0"/>
                <w:szCs w:val="21"/>
                <w:lang w:val="en-US" w:eastAsia="zh-CN"/>
              </w:rPr>
            </w:pPr>
            <w:r>
              <w:rPr>
                <w:rFonts w:hint="eastAsia" w:ascii="宋体" w:hAnsi="宋体" w:cs="宋体"/>
                <w:b/>
                <w:color w:val="auto"/>
                <w:kern w:val="0"/>
                <w:szCs w:val="21"/>
                <w:lang w:val="en-US" w:eastAsia="zh-CN"/>
              </w:rPr>
              <w:t>服务要求内容</w:t>
            </w:r>
          </w:p>
        </w:tc>
        <w:tc>
          <w:tcPr>
            <w:tcW w:w="5759" w:type="dxa"/>
            <w:noWrap w:val="0"/>
            <w:vAlign w:val="top"/>
          </w:tcPr>
          <w:p w14:paraId="00EC0A4B">
            <w:pPr>
              <w:jc w:val="center"/>
              <w:rPr>
                <w:rFonts w:hint="eastAsia" w:ascii="宋体" w:hAnsi="宋体"/>
                <w:b/>
                <w:color w:val="auto"/>
              </w:rPr>
            </w:pPr>
            <w:r>
              <w:rPr>
                <w:rFonts w:hint="eastAsia" w:ascii="宋体" w:hAnsi="宋体"/>
                <w:b/>
                <w:color w:val="auto"/>
              </w:rPr>
              <w:t>服务</w:t>
            </w:r>
            <w:r>
              <w:rPr>
                <w:rFonts w:hint="eastAsia" w:ascii="宋体" w:hAnsi="宋体"/>
                <w:b/>
                <w:color w:val="auto"/>
                <w:lang w:val="en-US" w:eastAsia="zh-CN"/>
              </w:rPr>
              <w:t>要求内容</w:t>
            </w:r>
            <w:r>
              <w:rPr>
                <w:rFonts w:hint="eastAsia" w:ascii="宋体" w:hAnsi="宋体"/>
                <w:b/>
                <w:color w:val="auto"/>
              </w:rPr>
              <w:t>说明</w:t>
            </w:r>
          </w:p>
        </w:tc>
      </w:tr>
      <w:tr w14:paraId="75E5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596" w:type="dxa"/>
            <w:noWrap w:val="0"/>
            <w:vAlign w:val="center"/>
          </w:tcPr>
          <w:p w14:paraId="497735DA">
            <w:pPr>
              <w:jc w:val="center"/>
              <w:rPr>
                <w:rFonts w:hint="eastAsia" w:ascii="宋体" w:hAnsi="宋体" w:cs="宋体"/>
                <w:color w:val="auto"/>
                <w:kern w:val="0"/>
                <w:szCs w:val="21"/>
              </w:rPr>
            </w:pPr>
            <w:r>
              <w:rPr>
                <w:rFonts w:hint="eastAsia" w:ascii="宋体" w:hAnsi="宋体" w:cs="宋体"/>
                <w:color w:val="auto"/>
                <w:kern w:val="0"/>
                <w:szCs w:val="21"/>
              </w:rPr>
              <w:t>每日设备巡检及简单维护</w:t>
            </w:r>
          </w:p>
        </w:tc>
        <w:tc>
          <w:tcPr>
            <w:tcW w:w="5759" w:type="dxa"/>
            <w:noWrap w:val="0"/>
            <w:vAlign w:val="top"/>
          </w:tcPr>
          <w:p w14:paraId="27EC408A">
            <w:pPr>
              <w:rPr>
                <w:rFonts w:hint="eastAsia" w:ascii="宋体" w:hAnsi="宋体"/>
                <w:color w:val="auto"/>
              </w:rPr>
            </w:pPr>
            <w:r>
              <w:rPr>
                <w:rFonts w:hint="eastAsia" w:ascii="宋体" w:hAnsi="宋体"/>
                <w:color w:val="auto"/>
              </w:rPr>
              <w:t>每日盘前</w:t>
            </w:r>
            <w:r>
              <w:rPr>
                <w:rFonts w:hint="eastAsia" w:ascii="宋体" w:hAnsi="宋体"/>
                <w:color w:val="auto"/>
                <w:lang w:eastAsia="zh-CN"/>
              </w:rPr>
              <w:t>、</w:t>
            </w:r>
            <w:r>
              <w:rPr>
                <w:rFonts w:hint="eastAsia" w:ascii="宋体" w:hAnsi="宋体"/>
                <w:color w:val="auto"/>
                <w:lang w:val="en-US" w:eastAsia="zh-CN"/>
              </w:rPr>
              <w:t>盘后</w:t>
            </w:r>
            <w:r>
              <w:rPr>
                <w:rFonts w:hint="eastAsia" w:ascii="宋体" w:hAnsi="宋体"/>
                <w:color w:val="auto"/>
              </w:rPr>
              <w:t>对甲方设备</w:t>
            </w:r>
            <w:r>
              <w:rPr>
                <w:rFonts w:hint="eastAsia" w:ascii="宋体" w:hAnsi="宋体"/>
                <w:color w:val="auto"/>
                <w:lang w:val="en-US" w:eastAsia="zh-CN"/>
              </w:rPr>
              <w:t>各</w:t>
            </w:r>
            <w:r>
              <w:rPr>
                <w:rFonts w:hint="eastAsia" w:ascii="宋体" w:hAnsi="宋体"/>
                <w:color w:val="auto"/>
              </w:rPr>
              <w:t>进行一次巡检，并做好巡检记录，对有问题的设备</w:t>
            </w:r>
            <w:r>
              <w:rPr>
                <w:rFonts w:hint="eastAsia" w:ascii="宋体" w:hAnsi="宋体"/>
                <w:color w:val="auto"/>
                <w:lang w:val="en-US" w:eastAsia="zh-CN"/>
              </w:rPr>
              <w:t>立即反馈，</w:t>
            </w:r>
            <w:r>
              <w:rPr>
                <w:rFonts w:hint="eastAsia" w:ascii="宋体" w:hAnsi="宋体"/>
                <w:color w:val="auto"/>
              </w:rPr>
              <w:t xml:space="preserve">经甲方同意后进行简单维护， </w:t>
            </w:r>
          </w:p>
        </w:tc>
      </w:tr>
      <w:tr w14:paraId="028A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596" w:type="dxa"/>
            <w:noWrap w:val="0"/>
            <w:vAlign w:val="center"/>
          </w:tcPr>
          <w:p w14:paraId="1203A83D">
            <w:pPr>
              <w:widowControl/>
              <w:spacing w:before="100" w:beforeAutospacing="1" w:after="100" w:afterAutospacing="1"/>
              <w:jc w:val="center"/>
              <w:rPr>
                <w:rFonts w:hint="eastAsia" w:ascii="宋体" w:hAnsi="宋体" w:cs="宋体"/>
                <w:color w:val="auto"/>
                <w:kern w:val="0"/>
                <w:szCs w:val="21"/>
              </w:rPr>
            </w:pPr>
            <w:r>
              <w:rPr>
                <w:rFonts w:hint="eastAsia" w:ascii="宋体" w:hAnsi="宋体"/>
                <w:color w:val="auto"/>
              </w:rPr>
              <w:t>简单配件维护，设备上、下架</w:t>
            </w:r>
          </w:p>
        </w:tc>
        <w:tc>
          <w:tcPr>
            <w:tcW w:w="5759" w:type="dxa"/>
            <w:noWrap w:val="0"/>
            <w:vAlign w:val="top"/>
          </w:tcPr>
          <w:p w14:paraId="75B44101">
            <w:pPr>
              <w:widowControl/>
              <w:spacing w:before="100" w:beforeAutospacing="1" w:after="100" w:afterAutospacing="1"/>
              <w:rPr>
                <w:rFonts w:hint="eastAsia" w:ascii="宋体" w:hAnsi="宋体"/>
                <w:color w:val="auto"/>
              </w:rPr>
            </w:pPr>
            <w:r>
              <w:rPr>
                <w:rFonts w:hint="eastAsia" w:ascii="宋体" w:hAnsi="宋体"/>
                <w:color w:val="auto"/>
              </w:rPr>
              <w:t>按照甲方通知的时间，在</w:t>
            </w:r>
            <w:r>
              <w:rPr>
                <w:rFonts w:hint="eastAsia" w:ascii="宋体" w:hAnsi="宋体"/>
                <w:color w:val="auto"/>
                <w:lang w:val="en-US" w:eastAsia="zh-CN"/>
              </w:rPr>
              <w:t>指定</w:t>
            </w:r>
            <w:r>
              <w:rPr>
                <w:rFonts w:hint="eastAsia" w:ascii="宋体" w:hAnsi="宋体"/>
                <w:color w:val="auto"/>
              </w:rPr>
              <w:t>机房内进行指定操作。简单配件维护包括但不限于硬盘更换或增减、网卡更换或增减、内存更换或增减、风扇更换、主板更换等。</w:t>
            </w:r>
          </w:p>
        </w:tc>
      </w:tr>
      <w:tr w14:paraId="68CB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2596" w:type="dxa"/>
            <w:noWrap w:val="0"/>
            <w:vAlign w:val="center"/>
          </w:tcPr>
          <w:p w14:paraId="796FA8FA">
            <w:pPr>
              <w:widowControl/>
              <w:spacing w:before="100" w:beforeAutospacing="1" w:after="100" w:afterAutospacing="1"/>
              <w:jc w:val="center"/>
              <w:rPr>
                <w:rFonts w:hint="eastAsia" w:ascii="宋体" w:hAnsi="宋体" w:cs="宋体"/>
                <w:color w:val="auto"/>
                <w:kern w:val="0"/>
                <w:szCs w:val="21"/>
              </w:rPr>
            </w:pPr>
            <w:r>
              <w:rPr>
                <w:rFonts w:ascii="宋体" w:hAnsi="宋体"/>
                <w:color w:val="auto"/>
              </w:rPr>
              <w:t>Windows/Linux</w:t>
            </w:r>
            <w:r>
              <w:rPr>
                <w:rFonts w:hint="eastAsia" w:ascii="宋体" w:hAnsi="宋体"/>
                <w:color w:val="auto"/>
              </w:rPr>
              <w:t>操作系统平台安装</w:t>
            </w:r>
          </w:p>
        </w:tc>
        <w:tc>
          <w:tcPr>
            <w:tcW w:w="5759" w:type="dxa"/>
            <w:noWrap w:val="0"/>
            <w:vAlign w:val="center"/>
          </w:tcPr>
          <w:p w14:paraId="7B0AC134">
            <w:pPr>
              <w:widowControl/>
              <w:spacing w:before="100" w:beforeAutospacing="1" w:after="100" w:afterAutospacing="1"/>
              <w:rPr>
                <w:rFonts w:hint="eastAsia" w:ascii="宋体" w:hAnsi="宋体"/>
                <w:color w:val="auto"/>
              </w:rPr>
            </w:pPr>
            <w:r>
              <w:rPr>
                <w:rFonts w:hint="eastAsia" w:ascii="宋体" w:hAnsi="宋体"/>
                <w:color w:val="auto"/>
              </w:rPr>
              <w:t>按照甲方通知的时间，在</w:t>
            </w:r>
            <w:r>
              <w:rPr>
                <w:rFonts w:hint="eastAsia" w:ascii="宋体" w:hAnsi="宋体"/>
                <w:color w:val="auto"/>
                <w:lang w:val="en-US" w:eastAsia="zh-CN"/>
              </w:rPr>
              <w:t>指定</w:t>
            </w:r>
            <w:r>
              <w:rPr>
                <w:rFonts w:hint="eastAsia" w:ascii="宋体" w:hAnsi="宋体"/>
                <w:color w:val="auto"/>
              </w:rPr>
              <w:t>机房内进行指定操作。</w:t>
            </w:r>
            <w:r>
              <w:rPr>
                <w:rFonts w:hint="eastAsia" w:ascii="宋体" w:hAnsi="宋体"/>
                <w:color w:val="auto"/>
                <w:lang w:val="en-US" w:eastAsia="zh-CN"/>
              </w:rPr>
              <w:t>包括各版本</w:t>
            </w:r>
            <w:r>
              <w:rPr>
                <w:rFonts w:hint="eastAsia" w:ascii="宋体" w:hAnsi="宋体"/>
                <w:color w:val="auto"/>
              </w:rPr>
              <w:t>windows操作系统平台安装和linux 系统平台安装。</w:t>
            </w:r>
          </w:p>
        </w:tc>
      </w:tr>
      <w:tr w14:paraId="24C1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2596" w:type="dxa"/>
            <w:noWrap w:val="0"/>
            <w:vAlign w:val="center"/>
          </w:tcPr>
          <w:p w14:paraId="6C98507B">
            <w:pPr>
              <w:widowControl/>
              <w:spacing w:before="100" w:beforeAutospacing="1" w:after="100" w:afterAutospacing="1"/>
              <w:jc w:val="center"/>
              <w:rPr>
                <w:rFonts w:hint="eastAsia" w:ascii="宋体" w:hAnsi="宋体" w:cs="宋体"/>
                <w:color w:val="auto"/>
                <w:kern w:val="0"/>
                <w:szCs w:val="21"/>
              </w:rPr>
            </w:pPr>
            <w:r>
              <w:rPr>
                <w:rFonts w:hint="eastAsia" w:ascii="宋体" w:hAnsi="宋体"/>
                <w:color w:val="auto"/>
              </w:rPr>
              <w:t>设备收、发货</w:t>
            </w:r>
          </w:p>
        </w:tc>
        <w:tc>
          <w:tcPr>
            <w:tcW w:w="5759" w:type="dxa"/>
            <w:noWrap w:val="0"/>
            <w:vAlign w:val="center"/>
          </w:tcPr>
          <w:p w14:paraId="67F214B7">
            <w:pPr>
              <w:rPr>
                <w:rFonts w:hint="eastAsia" w:ascii="宋体" w:hAnsi="宋体"/>
                <w:color w:val="auto"/>
              </w:rPr>
            </w:pPr>
            <w:r>
              <w:rPr>
                <w:rFonts w:hint="eastAsia" w:ascii="宋体" w:hAnsi="宋体"/>
                <w:color w:val="auto"/>
              </w:rPr>
              <w:t>按照甲方的要求，从</w:t>
            </w:r>
            <w:r>
              <w:rPr>
                <w:rFonts w:hint="eastAsia" w:ascii="宋体" w:hAnsi="宋体"/>
                <w:color w:val="auto"/>
                <w:lang w:val="en-US" w:eastAsia="zh-CN"/>
              </w:rPr>
              <w:t>指定</w:t>
            </w:r>
            <w:r>
              <w:rPr>
                <w:rFonts w:hint="eastAsia" w:ascii="宋体" w:hAnsi="宋体"/>
                <w:color w:val="auto"/>
              </w:rPr>
              <w:t>机房收、发设备。</w:t>
            </w:r>
          </w:p>
        </w:tc>
      </w:tr>
      <w:tr w14:paraId="1A20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2596" w:type="dxa"/>
            <w:noWrap w:val="0"/>
            <w:vAlign w:val="center"/>
          </w:tcPr>
          <w:p w14:paraId="4B674138">
            <w:pPr>
              <w:widowControl/>
              <w:spacing w:before="100" w:beforeAutospacing="1" w:after="100" w:afterAutospacing="1"/>
              <w:jc w:val="center"/>
              <w:rPr>
                <w:rFonts w:hint="eastAsia" w:ascii="宋体" w:hAnsi="宋体"/>
                <w:color w:val="auto"/>
              </w:rPr>
            </w:pPr>
            <w:r>
              <w:rPr>
                <w:rFonts w:hint="eastAsia" w:ascii="宋体" w:hAnsi="宋体"/>
                <w:color w:val="auto"/>
              </w:rPr>
              <w:t>设备重启、网线插拔等简单操作</w:t>
            </w:r>
          </w:p>
        </w:tc>
        <w:tc>
          <w:tcPr>
            <w:tcW w:w="5759" w:type="dxa"/>
            <w:noWrap w:val="0"/>
            <w:vAlign w:val="center"/>
          </w:tcPr>
          <w:p w14:paraId="7A32F0E1">
            <w:pPr>
              <w:rPr>
                <w:rFonts w:hint="eastAsia" w:ascii="宋体" w:hAnsi="宋体"/>
                <w:color w:val="auto"/>
              </w:rPr>
            </w:pPr>
            <w:r>
              <w:rPr>
                <w:rFonts w:hint="eastAsia" w:ascii="宋体" w:hAnsi="宋体"/>
                <w:color w:val="auto"/>
              </w:rPr>
              <w:t>按照甲方要求，在</w:t>
            </w:r>
            <w:r>
              <w:rPr>
                <w:rFonts w:hint="eastAsia" w:ascii="宋体" w:hAnsi="宋体"/>
                <w:color w:val="auto"/>
                <w:lang w:val="en-US" w:eastAsia="zh-CN"/>
              </w:rPr>
              <w:t>指定</w:t>
            </w:r>
            <w:r>
              <w:rPr>
                <w:rFonts w:hint="eastAsia" w:ascii="宋体" w:hAnsi="宋体"/>
                <w:color w:val="auto"/>
              </w:rPr>
              <w:t>机房内进行设备重启、网线插拔等简单指定操作。</w:t>
            </w:r>
          </w:p>
        </w:tc>
      </w:tr>
      <w:tr w14:paraId="6AFF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2596" w:type="dxa"/>
            <w:noWrap w:val="0"/>
            <w:vAlign w:val="center"/>
          </w:tcPr>
          <w:p w14:paraId="7829CD40">
            <w:pPr>
              <w:widowControl/>
              <w:spacing w:before="100" w:beforeAutospacing="1" w:after="100" w:afterAutospacing="1"/>
              <w:jc w:val="center"/>
              <w:rPr>
                <w:rFonts w:hint="eastAsia" w:ascii="宋体" w:hAnsi="宋体"/>
                <w:color w:val="auto"/>
              </w:rPr>
            </w:pPr>
            <w:r>
              <w:rPr>
                <w:rFonts w:hint="eastAsia" w:ascii="宋体" w:hAnsi="宋体"/>
                <w:color w:val="auto"/>
              </w:rPr>
              <w:t>其他</w:t>
            </w:r>
          </w:p>
        </w:tc>
        <w:tc>
          <w:tcPr>
            <w:tcW w:w="5759" w:type="dxa"/>
            <w:noWrap w:val="0"/>
            <w:vAlign w:val="center"/>
          </w:tcPr>
          <w:p w14:paraId="300FFB5C">
            <w:pPr>
              <w:rPr>
                <w:rFonts w:hint="eastAsia" w:ascii="宋体" w:hAnsi="宋体"/>
                <w:color w:val="auto"/>
              </w:rPr>
            </w:pPr>
            <w:r>
              <w:rPr>
                <w:rFonts w:hint="eastAsia" w:ascii="宋体" w:hAnsi="宋体"/>
                <w:color w:val="auto"/>
              </w:rPr>
              <w:t>按照甲方要求，进行操作。</w:t>
            </w:r>
          </w:p>
        </w:tc>
      </w:tr>
    </w:tbl>
    <w:p w14:paraId="187179E2">
      <w:pPr>
        <w:numPr>
          <w:ilvl w:val="-1"/>
          <w:numId w:val="0"/>
        </w:numPr>
        <w:autoSpaceDE w:val="0"/>
        <w:autoSpaceDN w:val="0"/>
        <w:adjustRightInd w:val="0"/>
        <w:spacing w:after="200" w:line="276" w:lineRule="auto"/>
        <w:ind w:left="0" w:firstLine="0"/>
        <w:rPr>
          <w:rFonts w:hint="eastAsia" w:ascii="宋体" w:hAnsi="宋体" w:eastAsia="宋体" w:cs="宋体"/>
          <w:bCs/>
          <w:sz w:val="24"/>
          <w:szCs w:val="24"/>
        </w:rPr>
      </w:pPr>
    </w:p>
    <w:p w14:paraId="62E3F078">
      <w:pPr>
        <w:numPr>
          <w:ilvl w:val="0"/>
          <w:numId w:val="18"/>
        </w:numPr>
        <w:autoSpaceDE w:val="0"/>
        <w:autoSpaceDN w:val="0"/>
        <w:adjustRightInd w:val="0"/>
        <w:spacing w:after="200" w:line="276" w:lineRule="auto"/>
        <w:ind w:left="0" w:firstLine="0"/>
        <w:rPr>
          <w:rFonts w:hint="eastAsia" w:ascii="宋体" w:hAnsi="宋体" w:cs="宋体"/>
          <w:bCs/>
          <w:sz w:val="24"/>
          <w:szCs w:val="24"/>
        </w:rPr>
      </w:pPr>
      <w:r>
        <w:rPr>
          <w:rFonts w:hint="eastAsia" w:ascii="宋体" w:hAnsi="宋体" w:cs="宋体"/>
          <w:bCs/>
          <w:sz w:val="24"/>
          <w:szCs w:val="24"/>
        </w:rPr>
        <w:t>维护服务地点</w:t>
      </w:r>
      <w:r>
        <w:rPr>
          <w:rFonts w:hint="eastAsia" w:ascii="宋体" w:hAnsi="宋体" w:cs="宋体"/>
          <w:bCs/>
          <w:sz w:val="24"/>
          <w:szCs w:val="24"/>
          <w:lang w:val="en-US" w:eastAsia="zh-CN"/>
        </w:rPr>
        <w:t>如下</w:t>
      </w:r>
      <w:r>
        <w:rPr>
          <w:rFonts w:hint="eastAsia" w:ascii="宋体" w:hAnsi="宋体" w:cs="宋体"/>
          <w:bCs/>
          <w:sz w:val="24"/>
          <w:szCs w:val="24"/>
        </w:rPr>
        <w:t>：</w:t>
      </w:r>
    </w:p>
    <w:p w14:paraId="318A1656">
      <w:pPr>
        <w:numPr>
          <w:ilvl w:val="0"/>
          <w:numId w:val="19"/>
        </w:numPr>
        <w:autoSpaceDE w:val="0"/>
        <w:autoSpaceDN w:val="0"/>
        <w:adjustRightInd w:val="0"/>
        <w:spacing w:after="200" w:line="276" w:lineRule="auto"/>
        <w:ind w:left="-270" w:firstLine="480" w:firstLineChars="0"/>
        <w:rPr>
          <w:rFonts w:hint="eastAsia" w:ascii="宋体" w:hAnsi="宋体" w:cs="宋体"/>
          <w:bCs/>
          <w:sz w:val="24"/>
          <w:szCs w:val="24"/>
        </w:rPr>
      </w:pPr>
      <w:r>
        <w:rPr>
          <w:rFonts w:hint="eastAsia" w:ascii="宋体" w:hAnsi="宋体" w:cs="宋体"/>
          <w:bCs/>
          <w:sz w:val="24"/>
          <w:szCs w:val="24"/>
        </w:rPr>
        <w:t>郑州市郑东新区龙湖外环东路31号郑商所技术中心C座1楼103机房</w:t>
      </w:r>
      <w:r>
        <w:rPr>
          <w:rFonts w:hint="eastAsia" w:ascii="宋体" w:hAnsi="宋体" w:cs="宋体"/>
          <w:bCs/>
          <w:sz w:val="24"/>
          <w:szCs w:val="24"/>
          <w:lang w:val="en-US" w:eastAsia="zh-CN"/>
        </w:rPr>
        <w:t>1</w:t>
      </w:r>
      <w:r>
        <w:rPr>
          <w:rFonts w:hint="eastAsia" w:ascii="宋体" w:hAnsi="宋体" w:cs="宋体"/>
          <w:bCs/>
          <w:sz w:val="24"/>
          <w:szCs w:val="24"/>
        </w:rPr>
        <w:t>个机柜。（F06）</w:t>
      </w:r>
    </w:p>
    <w:p w14:paraId="53AFCC28">
      <w:pPr>
        <w:numPr>
          <w:ilvl w:val="0"/>
          <w:numId w:val="19"/>
        </w:numPr>
        <w:autoSpaceDE w:val="0"/>
        <w:autoSpaceDN w:val="0"/>
        <w:adjustRightInd w:val="0"/>
        <w:spacing w:after="200" w:line="276" w:lineRule="auto"/>
        <w:ind w:left="-270" w:firstLine="480"/>
        <w:rPr>
          <w:rFonts w:hint="eastAsia" w:ascii="宋体" w:hAnsi="宋体" w:cs="宋体"/>
          <w:bCs/>
          <w:sz w:val="24"/>
          <w:szCs w:val="24"/>
        </w:rPr>
      </w:pPr>
      <w:r>
        <w:rPr>
          <w:rFonts w:hint="eastAsia" w:ascii="宋体" w:hAnsi="宋体" w:cs="宋体"/>
          <w:bCs/>
          <w:sz w:val="24"/>
          <w:szCs w:val="24"/>
        </w:rPr>
        <w:t>河南省郑州市金水区金水东路27号河南电信省公司枢纽机房505-08列</w:t>
      </w:r>
      <w:r>
        <w:rPr>
          <w:rFonts w:hint="eastAsia" w:ascii="宋体" w:hAnsi="宋体" w:cs="宋体"/>
          <w:bCs/>
          <w:sz w:val="24"/>
          <w:szCs w:val="24"/>
          <w:lang w:val="en-US" w:eastAsia="zh-CN"/>
        </w:rPr>
        <w:t>3</w:t>
      </w:r>
      <w:r>
        <w:rPr>
          <w:rFonts w:hint="eastAsia" w:ascii="宋体" w:hAnsi="宋体" w:cs="宋体"/>
          <w:bCs/>
          <w:sz w:val="24"/>
          <w:szCs w:val="24"/>
        </w:rPr>
        <w:t>个机柜</w:t>
      </w:r>
      <w:r>
        <w:rPr>
          <w:rFonts w:hint="eastAsia" w:ascii="宋体" w:hAnsi="宋体" w:cs="宋体"/>
          <w:bCs/>
          <w:sz w:val="24"/>
          <w:szCs w:val="24"/>
          <w:lang w:eastAsia="zh-CN"/>
        </w:rPr>
        <w:t>（</w:t>
      </w:r>
      <w:r>
        <w:rPr>
          <w:rFonts w:hint="eastAsia" w:ascii="宋体" w:hAnsi="宋体" w:cs="宋体"/>
          <w:bCs/>
          <w:sz w:val="24"/>
          <w:szCs w:val="24"/>
          <w:lang w:val="en-US" w:eastAsia="zh-CN"/>
        </w:rPr>
        <w:t>06、</w:t>
      </w:r>
      <w:r>
        <w:rPr>
          <w:rFonts w:hint="eastAsia" w:ascii="宋体" w:hAnsi="宋体" w:cs="宋体"/>
          <w:bCs/>
          <w:sz w:val="24"/>
          <w:szCs w:val="24"/>
        </w:rPr>
        <w:t>07</w:t>
      </w:r>
      <w:r>
        <w:rPr>
          <w:rFonts w:hint="eastAsia" w:ascii="宋体" w:hAnsi="宋体" w:cs="宋体"/>
          <w:bCs/>
          <w:sz w:val="24"/>
          <w:szCs w:val="24"/>
          <w:lang w:eastAsia="zh-CN"/>
        </w:rPr>
        <w:t>、</w:t>
      </w:r>
      <w:r>
        <w:rPr>
          <w:rFonts w:hint="eastAsia" w:ascii="宋体" w:hAnsi="宋体" w:cs="宋体"/>
          <w:bCs/>
          <w:sz w:val="24"/>
          <w:szCs w:val="24"/>
          <w:lang w:val="en-US" w:eastAsia="zh-CN"/>
        </w:rPr>
        <w:t>08）</w:t>
      </w:r>
    </w:p>
    <w:p w14:paraId="41BD4E0D">
      <w:pPr>
        <w:numPr>
          <w:ilvl w:val="0"/>
          <w:numId w:val="19"/>
        </w:numPr>
        <w:autoSpaceDE w:val="0"/>
        <w:autoSpaceDN w:val="0"/>
        <w:adjustRightInd w:val="0"/>
        <w:spacing w:after="200" w:line="276" w:lineRule="auto"/>
        <w:ind w:left="-270" w:firstLine="480"/>
        <w:rPr>
          <w:rFonts w:hint="eastAsia" w:ascii="宋体" w:hAnsi="宋体" w:cs="宋体"/>
          <w:bCs/>
          <w:sz w:val="24"/>
          <w:szCs w:val="24"/>
        </w:rPr>
      </w:pPr>
      <w:r>
        <w:rPr>
          <w:rFonts w:hint="eastAsia" w:ascii="宋体" w:hAnsi="宋体" w:cs="宋体"/>
          <w:bCs/>
          <w:sz w:val="24"/>
          <w:szCs w:val="24"/>
        </w:rPr>
        <w:t>上海市浦东新区金皖路458号金桥三期6号楼8楼P机房10个机柜。（P2-03 ~ P2-12）</w:t>
      </w:r>
    </w:p>
    <w:p w14:paraId="0A2A65EF">
      <w:pPr>
        <w:numPr>
          <w:ilvl w:val="0"/>
          <w:numId w:val="19"/>
        </w:numPr>
        <w:autoSpaceDE w:val="0"/>
        <w:autoSpaceDN w:val="0"/>
        <w:adjustRightInd w:val="0"/>
        <w:spacing w:after="200" w:line="276" w:lineRule="auto"/>
        <w:ind w:left="-270" w:firstLine="480"/>
        <w:rPr>
          <w:rFonts w:hint="eastAsia" w:ascii="宋体" w:hAnsi="宋体" w:cs="宋体"/>
          <w:bCs/>
          <w:sz w:val="24"/>
          <w:szCs w:val="24"/>
        </w:rPr>
      </w:pPr>
      <w:r>
        <w:rPr>
          <w:rFonts w:hint="eastAsia" w:ascii="宋体" w:hAnsi="宋体" w:cs="宋体"/>
          <w:bCs/>
          <w:sz w:val="24"/>
          <w:szCs w:val="24"/>
        </w:rPr>
        <w:t>上海市浦东新区来安路1045号1号楼4楼</w:t>
      </w:r>
      <w:r>
        <w:rPr>
          <w:rFonts w:hint="eastAsia" w:ascii="宋体" w:hAnsi="宋体" w:cs="宋体"/>
          <w:bCs/>
          <w:sz w:val="24"/>
          <w:szCs w:val="24"/>
          <w:lang w:val="en-US" w:eastAsia="zh-CN"/>
        </w:rPr>
        <w:t>8</w:t>
      </w:r>
      <w:r>
        <w:rPr>
          <w:rFonts w:hint="eastAsia" w:ascii="宋体" w:hAnsi="宋体" w:cs="宋体"/>
          <w:bCs/>
          <w:sz w:val="24"/>
          <w:szCs w:val="24"/>
        </w:rPr>
        <w:t>个机柜。（402-H2-19、402-H2-20、402-H2-21、402-H2-22、402-D2-27、402-D2-28、402-D2-29、402-D2-30）</w:t>
      </w:r>
    </w:p>
    <w:p w14:paraId="5E1CC251">
      <w:pPr>
        <w:numPr>
          <w:ilvl w:val="0"/>
          <w:numId w:val="19"/>
        </w:numPr>
        <w:autoSpaceDE w:val="0"/>
        <w:autoSpaceDN w:val="0"/>
        <w:adjustRightInd w:val="0"/>
        <w:spacing w:after="200" w:line="276" w:lineRule="auto"/>
        <w:ind w:left="-270" w:firstLine="480"/>
        <w:rPr>
          <w:rFonts w:hint="eastAsia" w:ascii="宋体" w:hAnsi="宋体" w:cs="宋体"/>
          <w:bCs/>
          <w:sz w:val="24"/>
          <w:szCs w:val="24"/>
        </w:rPr>
      </w:pPr>
      <w:r>
        <w:rPr>
          <w:rFonts w:hint="eastAsia" w:ascii="宋体" w:hAnsi="宋体" w:cs="宋体"/>
          <w:bCs/>
          <w:sz w:val="24"/>
          <w:szCs w:val="24"/>
        </w:rPr>
        <w:t>上海市浦东新区来安路</w:t>
      </w:r>
      <w:r>
        <w:rPr>
          <w:rFonts w:hint="eastAsia" w:ascii="宋体" w:hAnsi="宋体" w:cs="宋体"/>
          <w:bCs/>
          <w:sz w:val="24"/>
          <w:szCs w:val="24"/>
          <w:lang w:val="en-US" w:eastAsia="zh-CN"/>
        </w:rPr>
        <w:t>996</w:t>
      </w:r>
      <w:r>
        <w:rPr>
          <w:rFonts w:hint="eastAsia" w:ascii="宋体" w:hAnsi="宋体" w:cs="宋体"/>
          <w:bCs/>
          <w:sz w:val="24"/>
          <w:szCs w:val="24"/>
        </w:rPr>
        <w:t>号</w:t>
      </w:r>
      <w:r>
        <w:rPr>
          <w:rFonts w:hint="eastAsia" w:ascii="宋体" w:hAnsi="宋体" w:eastAsia="宋体" w:cs="宋体"/>
          <w:bCs/>
          <w:sz w:val="24"/>
          <w:szCs w:val="24"/>
          <w:lang w:val="en-US"/>
        </w:rPr>
        <w:t>12</w:t>
      </w:r>
      <w:r>
        <w:rPr>
          <w:rFonts w:hint="eastAsia" w:ascii="宋体" w:hAnsi="宋体" w:eastAsia="宋体" w:cs="宋体"/>
          <w:bCs/>
          <w:sz w:val="24"/>
          <w:szCs w:val="24"/>
        </w:rPr>
        <w:t>号楼二层</w:t>
      </w:r>
      <w:r>
        <w:rPr>
          <w:rFonts w:hint="eastAsia" w:ascii="宋体" w:hAnsi="宋体" w:cs="宋体"/>
          <w:bCs/>
          <w:sz w:val="24"/>
          <w:szCs w:val="24"/>
          <w:lang w:val="en-US" w:eastAsia="zh-CN"/>
        </w:rPr>
        <w:t>1个机柜（</w:t>
      </w:r>
      <w:r>
        <w:rPr>
          <w:rFonts w:hint="eastAsia" w:ascii="宋体" w:hAnsi="宋体" w:eastAsia="宋体" w:cs="宋体"/>
          <w:bCs/>
          <w:sz w:val="24"/>
          <w:szCs w:val="24"/>
          <w:lang w:val="en-US"/>
        </w:rPr>
        <w:t>2VDAD</w:t>
      </w:r>
      <w:r>
        <w:rPr>
          <w:rFonts w:hint="eastAsia" w:ascii="宋体" w:hAnsi="宋体" w:cs="宋体"/>
          <w:bCs/>
          <w:sz w:val="24"/>
          <w:szCs w:val="24"/>
          <w:lang w:val="en-US" w:eastAsia="zh-CN"/>
        </w:rPr>
        <w:t>）</w:t>
      </w:r>
    </w:p>
    <w:p w14:paraId="766586A1">
      <w:pPr>
        <w:numPr>
          <w:ilvl w:val="0"/>
          <w:numId w:val="19"/>
        </w:numPr>
        <w:autoSpaceDE w:val="0"/>
        <w:autoSpaceDN w:val="0"/>
        <w:adjustRightInd w:val="0"/>
        <w:spacing w:after="200" w:line="276" w:lineRule="auto"/>
        <w:ind w:left="-270" w:firstLine="480"/>
        <w:rPr>
          <w:rFonts w:hint="eastAsia" w:ascii="宋体" w:hAnsi="宋体" w:cs="宋体"/>
          <w:bCs/>
          <w:sz w:val="24"/>
          <w:szCs w:val="24"/>
        </w:rPr>
      </w:pPr>
      <w:r>
        <w:rPr>
          <w:rFonts w:hint="eastAsia" w:ascii="宋体" w:hAnsi="宋体" w:cs="宋体"/>
          <w:bCs/>
          <w:sz w:val="24"/>
          <w:szCs w:val="24"/>
          <w:lang w:val="en-US" w:eastAsia="zh-CN"/>
        </w:rPr>
        <w:t>上海市浦东新区上丰路998号A3栋1楼101机房2个机柜（A16</w:t>
      </w:r>
      <w:r>
        <w:rPr>
          <w:rFonts w:hint="eastAsia" w:ascii="宋体" w:hAnsi="宋体" w:cs="宋体"/>
          <w:bCs/>
          <w:sz w:val="24"/>
          <w:szCs w:val="24"/>
        </w:rPr>
        <w:t xml:space="preserve">~ </w:t>
      </w:r>
      <w:r>
        <w:rPr>
          <w:rFonts w:hint="eastAsia" w:ascii="宋体" w:hAnsi="宋体" w:cs="宋体"/>
          <w:bCs/>
          <w:sz w:val="24"/>
          <w:szCs w:val="24"/>
          <w:lang w:val="en-US" w:eastAsia="zh-CN"/>
        </w:rPr>
        <w:t>A17）</w:t>
      </w:r>
    </w:p>
    <w:p w14:paraId="4FADF1AC">
      <w:pPr>
        <w:numPr>
          <w:ilvl w:val="0"/>
          <w:numId w:val="19"/>
        </w:numPr>
        <w:autoSpaceDE w:val="0"/>
        <w:autoSpaceDN w:val="0"/>
        <w:adjustRightInd w:val="0"/>
        <w:spacing w:after="200" w:line="276" w:lineRule="auto"/>
        <w:ind w:left="-270" w:firstLine="480"/>
        <w:rPr>
          <w:rFonts w:hint="eastAsia" w:ascii="宋体" w:hAnsi="宋体" w:cs="宋体"/>
          <w:bCs/>
          <w:sz w:val="24"/>
          <w:szCs w:val="24"/>
        </w:rPr>
      </w:pPr>
      <w:r>
        <w:rPr>
          <w:rFonts w:hint="eastAsia" w:ascii="宋体" w:hAnsi="宋体" w:cs="宋体"/>
          <w:bCs/>
          <w:sz w:val="24"/>
          <w:szCs w:val="24"/>
        </w:rPr>
        <w:t>辽宁省大连</w:t>
      </w:r>
      <w:r>
        <w:rPr>
          <w:rFonts w:hint="eastAsia" w:ascii="宋体" w:hAnsi="宋体" w:cs="宋体"/>
          <w:bCs/>
          <w:sz w:val="24"/>
          <w:szCs w:val="24"/>
          <w:lang w:val="en-US" w:eastAsia="zh-CN"/>
        </w:rPr>
        <w:t>市</w:t>
      </w:r>
      <w:r>
        <w:rPr>
          <w:rFonts w:hint="eastAsia" w:ascii="宋体" w:hAnsi="宋体" w:cs="宋体"/>
          <w:bCs/>
          <w:sz w:val="24"/>
          <w:szCs w:val="24"/>
        </w:rPr>
        <w:t>经济技术开发区黄海大道160号天港数据中心3楼ID02机房</w:t>
      </w:r>
      <w:r>
        <w:rPr>
          <w:rFonts w:hint="eastAsia" w:ascii="宋体" w:hAnsi="宋体" w:cs="宋体"/>
          <w:bCs/>
          <w:sz w:val="24"/>
          <w:szCs w:val="24"/>
          <w:lang w:val="en-US" w:eastAsia="zh-CN"/>
        </w:rPr>
        <w:t>5个机柜（</w:t>
      </w:r>
      <w:r>
        <w:rPr>
          <w:rFonts w:hint="eastAsia" w:ascii="宋体" w:hAnsi="宋体" w:cs="宋体"/>
          <w:bCs/>
          <w:sz w:val="24"/>
          <w:szCs w:val="24"/>
        </w:rPr>
        <w:t>W</w:t>
      </w:r>
      <w:r>
        <w:rPr>
          <w:rFonts w:hint="eastAsia" w:ascii="宋体" w:hAnsi="宋体" w:eastAsia="宋体" w:cs="宋体"/>
          <w:bCs/>
          <w:sz w:val="24"/>
          <w:szCs w:val="24"/>
          <w:lang w:val="en-US" w:eastAsia="zh-CN"/>
        </w:rPr>
        <w:t>0</w:t>
      </w:r>
      <w:r>
        <w:rPr>
          <w:rFonts w:hint="eastAsia" w:ascii="宋体" w:hAnsi="宋体" w:cs="宋体"/>
          <w:bCs/>
          <w:sz w:val="24"/>
          <w:szCs w:val="24"/>
        </w:rPr>
        <w:t>7-S0</w:t>
      </w:r>
      <w:r>
        <w:rPr>
          <w:rFonts w:hint="eastAsia" w:ascii="宋体" w:hAnsi="宋体" w:cs="宋体"/>
          <w:bCs/>
          <w:sz w:val="24"/>
          <w:szCs w:val="24"/>
          <w:lang w:val="en-US" w:eastAsia="zh-CN"/>
        </w:rPr>
        <w:t>1~</w:t>
      </w:r>
      <w:r>
        <w:rPr>
          <w:rFonts w:hint="eastAsia" w:ascii="宋体" w:hAnsi="宋体" w:cs="宋体"/>
          <w:bCs/>
          <w:sz w:val="24"/>
          <w:szCs w:val="24"/>
        </w:rPr>
        <w:t>W</w:t>
      </w:r>
      <w:r>
        <w:rPr>
          <w:rFonts w:hint="eastAsia" w:ascii="宋体" w:hAnsi="宋体" w:eastAsia="宋体" w:cs="宋体"/>
          <w:bCs/>
          <w:sz w:val="24"/>
          <w:szCs w:val="24"/>
          <w:lang w:val="en-US" w:eastAsia="zh-CN"/>
        </w:rPr>
        <w:t>0</w:t>
      </w:r>
      <w:r>
        <w:rPr>
          <w:rFonts w:hint="eastAsia" w:ascii="宋体" w:hAnsi="宋体" w:cs="宋体"/>
          <w:bCs/>
          <w:sz w:val="24"/>
          <w:szCs w:val="24"/>
        </w:rPr>
        <w:t>7-S0</w:t>
      </w:r>
      <w:r>
        <w:rPr>
          <w:rFonts w:hint="eastAsia" w:ascii="宋体" w:hAnsi="宋体" w:cs="宋体"/>
          <w:bCs/>
          <w:sz w:val="24"/>
          <w:szCs w:val="24"/>
          <w:lang w:val="en-US" w:eastAsia="zh-CN"/>
        </w:rPr>
        <w:t>5）。</w:t>
      </w:r>
    </w:p>
    <w:p w14:paraId="7EEBF8D6">
      <w:pPr>
        <w:autoSpaceDE w:val="0"/>
        <w:autoSpaceDN w:val="0"/>
        <w:adjustRightInd w:val="0"/>
        <w:spacing w:after="200" w:line="276" w:lineRule="auto"/>
        <w:rPr>
          <w:rFonts w:hint="eastAsia" w:ascii="宋体" w:hAnsi="宋体" w:eastAsia="宋体" w:cs="宋体"/>
          <w:b/>
          <w:sz w:val="24"/>
          <w:szCs w:val="24"/>
        </w:rPr>
      </w:pPr>
    </w:p>
    <w:p w14:paraId="7903D120">
      <w:pPr>
        <w:numPr>
          <w:ilvl w:val="0"/>
          <w:numId w:val="18"/>
        </w:numPr>
        <w:autoSpaceDE w:val="0"/>
        <w:autoSpaceDN w:val="0"/>
        <w:adjustRightInd w:val="0"/>
        <w:spacing w:after="200" w:line="276" w:lineRule="auto"/>
        <w:ind w:left="425" w:hanging="425"/>
        <w:rPr>
          <w:rFonts w:hint="eastAsia" w:ascii="宋体" w:hAnsi="宋体" w:eastAsia="宋体" w:cs="宋体"/>
          <w:bCs w:val="0"/>
          <w:sz w:val="24"/>
          <w:szCs w:val="24"/>
        </w:rPr>
      </w:pPr>
      <w:r>
        <w:rPr>
          <w:rFonts w:hint="eastAsia" w:ascii="宋体" w:hAnsi="宋体" w:eastAsia="宋体" w:cs="宋体"/>
          <w:sz w:val="24"/>
          <w:szCs w:val="24"/>
        </w:rPr>
        <w:t>交付要求</w:t>
      </w:r>
    </w:p>
    <w:p w14:paraId="62DE0821">
      <w:pPr>
        <w:numPr>
          <w:ilvl w:val="-1"/>
          <w:numId w:val="0"/>
        </w:numPr>
        <w:autoSpaceDE w:val="0"/>
        <w:autoSpaceDN w:val="0"/>
        <w:adjustRightInd w:val="0"/>
        <w:spacing w:after="200" w:line="276" w:lineRule="auto"/>
        <w:ind w:left="0" w:firstLine="0"/>
        <w:rPr>
          <w:rFonts w:hint="default" w:ascii="宋体" w:hAnsi="宋体" w:eastAsia="宋体" w:cs="宋体"/>
          <w:bCs w:val="0"/>
          <w:sz w:val="24"/>
          <w:szCs w:val="24"/>
          <w:lang w:val="en-US" w:eastAsia="zh-CN"/>
        </w:rPr>
      </w:pPr>
      <w:r>
        <w:rPr>
          <w:rFonts w:hint="eastAsia" w:ascii="宋体" w:hAnsi="宋体" w:cs="宋体"/>
          <w:bCs w:val="0"/>
          <w:sz w:val="24"/>
          <w:szCs w:val="24"/>
          <w:lang w:val="en-US" w:eastAsia="zh-CN"/>
        </w:rPr>
        <w:t>每季度机柜维护服务报告、年度机柜维护服务总结报告</w:t>
      </w:r>
    </w:p>
    <w:p w14:paraId="04899C79">
      <w:pPr>
        <w:numPr>
          <w:ilvl w:val="0"/>
          <w:numId w:val="18"/>
        </w:numPr>
        <w:autoSpaceDE w:val="0"/>
        <w:autoSpaceDN w:val="0"/>
        <w:adjustRightInd w:val="0"/>
        <w:spacing w:after="200" w:line="276" w:lineRule="auto"/>
        <w:ind w:left="425" w:hanging="425"/>
        <w:rPr>
          <w:rFonts w:hint="eastAsia" w:ascii="宋体" w:hAnsi="宋体" w:eastAsia="宋体" w:cs="宋体"/>
          <w:bCs/>
          <w:sz w:val="24"/>
          <w:szCs w:val="24"/>
        </w:rPr>
      </w:pPr>
      <w:r>
        <w:rPr>
          <w:rFonts w:hint="eastAsia" w:ascii="宋体" w:hAnsi="宋体" w:cs="宋体"/>
          <w:sz w:val="24"/>
          <w:szCs w:val="24"/>
          <w:lang w:val="en-US" w:eastAsia="zh-CN"/>
        </w:rPr>
        <w:t>商务响应</w:t>
      </w:r>
      <w:r>
        <w:rPr>
          <w:rFonts w:hint="eastAsia" w:ascii="宋体" w:hAnsi="宋体" w:eastAsia="宋体" w:cs="宋体"/>
          <w:sz w:val="24"/>
          <w:szCs w:val="24"/>
          <w:lang w:val="en-US" w:eastAsia="zh-CN"/>
        </w:rPr>
        <w:t>要求</w:t>
      </w:r>
      <w:r>
        <w:rPr>
          <w:rFonts w:hint="eastAsia" w:ascii="宋体" w:hAnsi="宋体" w:cs="宋体"/>
          <w:sz w:val="24"/>
          <w:szCs w:val="24"/>
          <w:lang w:val="en-US" w:eastAsia="zh-CN"/>
        </w:rPr>
        <w:t>：</w:t>
      </w:r>
    </w:p>
    <w:p w14:paraId="76DF64BC">
      <w:pPr>
        <w:numPr>
          <w:ilvl w:val="-1"/>
          <w:numId w:val="0"/>
        </w:numPr>
        <w:autoSpaceDE w:val="0"/>
        <w:autoSpaceDN w:val="0"/>
        <w:adjustRightInd w:val="0"/>
        <w:spacing w:after="200" w:line="276" w:lineRule="auto"/>
        <w:ind w:left="0" w:firstLine="0"/>
        <w:rPr>
          <w:rFonts w:hint="default" w:ascii="宋体" w:hAnsi="宋体" w:eastAsia="宋体" w:cs="宋体"/>
          <w:bCs/>
          <w:sz w:val="24"/>
          <w:szCs w:val="24"/>
          <w:lang w:val="en-US" w:eastAsia="zh-CN"/>
        </w:rPr>
      </w:pPr>
      <w:r>
        <w:rPr>
          <w:rFonts w:hint="eastAsia" w:ascii="宋体" w:hAnsi="宋体" w:cs="宋体"/>
          <w:bCs/>
          <w:sz w:val="24"/>
          <w:szCs w:val="24"/>
          <w:lang w:val="en-US" w:eastAsia="zh-CN"/>
        </w:rPr>
        <w:t>必须具备金融业机柜维护服务案例，且案例数不少于3个。</w:t>
      </w:r>
    </w:p>
    <w:p w14:paraId="71A88A7E">
      <w:pPr>
        <w:numPr>
          <w:ilvl w:val="-1"/>
          <w:numId w:val="0"/>
        </w:numPr>
        <w:autoSpaceDE w:val="0"/>
        <w:autoSpaceDN w:val="0"/>
        <w:adjustRightInd w:val="0"/>
        <w:spacing w:after="200" w:line="276" w:lineRule="auto"/>
        <w:ind w:left="0" w:firstLine="0"/>
        <w:rPr>
          <w:rFonts w:hint="eastAsia" w:ascii="仿宋" w:hAnsi="仿宋" w:eastAsia="仿宋" w:cs="仿宋"/>
          <w:bCs/>
          <w:sz w:val="24"/>
          <w:szCs w:val="24"/>
        </w:rPr>
      </w:pPr>
      <w:r>
        <w:rPr>
          <w:rFonts w:hint="eastAsia" w:ascii="仿宋" w:hAnsi="仿宋" w:eastAsia="仿宋" w:cs="仿宋"/>
          <w:bCs/>
          <w:sz w:val="24"/>
          <w:szCs w:val="24"/>
        </w:rPr>
        <w:t xml:space="preserve"> </w:t>
      </w:r>
    </w:p>
    <w:p w14:paraId="6DCFED5C">
      <w:pPr>
        <w:widowControl/>
        <w:spacing w:line="360" w:lineRule="auto"/>
        <w:ind w:left="424" w:leftChars="202" w:firstLine="2"/>
        <w:rPr>
          <w:rFonts w:hint="eastAsia" w:asciiTheme="minorEastAsia" w:hAnsiTheme="minorEastAsia" w:eastAsiaTheme="minorEastAsia"/>
          <w:b/>
          <w:sz w:val="24"/>
        </w:rPr>
      </w:pPr>
    </w:p>
    <w:sectPr>
      <w:pgSz w:w="11906" w:h="16838"/>
      <w:pgMar w:top="1440" w:right="1797" w:bottom="1440" w:left="1797"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47E54">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8332" w:type="dxa"/>
      <w:tblInd w:w="0"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1606"/>
      <w:gridCol w:w="2239"/>
    </w:tblGrid>
    <w:tr w14:paraId="597C4851">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487" w:type="dxa"/>
          <w:tcBorders>
            <w:top w:val="single" w:color="000000" w:sz="6" w:space="0"/>
            <w:bottom w:val="single" w:color="000000" w:sz="6" w:space="0"/>
          </w:tcBorders>
        </w:tcPr>
        <w:p w14:paraId="2F3098CE">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06" w:type="dxa"/>
          <w:tcBorders>
            <w:top w:val="single" w:color="000000" w:sz="6" w:space="0"/>
            <w:bottom w:val="single" w:color="000000" w:sz="6" w:space="0"/>
          </w:tcBorders>
        </w:tcPr>
        <w:p w14:paraId="7662DD1E">
          <w:pPr>
            <w:pStyle w:val="18"/>
            <w:spacing w:before="40" w:after="20"/>
            <w:ind w:right="-28"/>
            <w:rPr>
              <w:rFonts w:eastAsia="黑体"/>
            </w:rPr>
          </w:pPr>
        </w:p>
      </w:tc>
      <w:tc>
        <w:tcPr>
          <w:tcW w:w="2239" w:type="dxa"/>
          <w:tcBorders>
            <w:top w:val="single" w:color="000000" w:sz="6" w:space="0"/>
            <w:bottom w:val="single" w:color="000000" w:sz="6" w:space="0"/>
          </w:tcBorders>
        </w:tcPr>
        <w:p w14:paraId="49C9B046">
          <w:pPr>
            <w:pStyle w:val="18"/>
            <w:spacing w:before="40" w:after="20"/>
            <w:ind w:right="-28"/>
            <w:jc w:val="right"/>
            <w:rPr>
              <w:rFonts w:ascii="Arial" w:hAnsi="Arial" w:eastAsia="黑体" w:cs="Arial"/>
              <w:b/>
              <w:bCs/>
            </w:rPr>
          </w:pPr>
          <w:r>
            <w:rPr>
              <w:rStyle w:val="31"/>
              <w:rFonts w:hint="eastAsia" w:ascii="Arial" w:hAnsi="Arial" w:cs="Arial"/>
            </w:rPr>
            <w:t xml:space="preserve">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16</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0FEF31EE">
    <w:pPr>
      <w:pStyle w:val="1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8332" w:type="dxa"/>
      <w:tblInd w:w="0"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1606"/>
      <w:gridCol w:w="2239"/>
    </w:tblGrid>
    <w:tr w14:paraId="178A46C5">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487" w:type="dxa"/>
          <w:tcBorders>
            <w:top w:val="single" w:color="000000" w:sz="6" w:space="0"/>
            <w:bottom w:val="single" w:color="000000" w:sz="6" w:space="0"/>
          </w:tcBorders>
        </w:tcPr>
        <w:p w14:paraId="19927284">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06" w:type="dxa"/>
          <w:tcBorders>
            <w:top w:val="single" w:color="000000" w:sz="6" w:space="0"/>
            <w:bottom w:val="single" w:color="000000" w:sz="6" w:space="0"/>
          </w:tcBorders>
        </w:tcPr>
        <w:p w14:paraId="223FF6E4">
          <w:pPr>
            <w:pStyle w:val="18"/>
            <w:spacing w:before="40" w:after="20"/>
            <w:ind w:right="-28"/>
            <w:rPr>
              <w:rFonts w:eastAsia="黑体"/>
            </w:rPr>
          </w:pPr>
        </w:p>
      </w:tc>
      <w:tc>
        <w:tcPr>
          <w:tcW w:w="2239" w:type="dxa"/>
          <w:tcBorders>
            <w:top w:val="single" w:color="000000" w:sz="6" w:space="0"/>
            <w:bottom w:val="single" w:color="000000" w:sz="6" w:space="0"/>
          </w:tcBorders>
        </w:tcPr>
        <w:p w14:paraId="0AEF4081">
          <w:pPr>
            <w:pStyle w:val="18"/>
            <w:spacing w:before="40" w:after="20"/>
            <w:ind w:right="-28"/>
            <w:jc w:val="right"/>
            <w:rPr>
              <w:rFonts w:ascii="Arial" w:hAnsi="Arial" w:eastAsia="黑体" w:cs="Arial"/>
              <w:b/>
              <w:bCs/>
            </w:rPr>
          </w:pPr>
          <w:r>
            <w:rPr>
              <w:rStyle w:val="31"/>
              <w:rFonts w:hint="eastAsia" w:ascii="Arial" w:hAnsi="Arial" w:cs="Arial"/>
            </w:rPr>
            <w:t xml:space="preserve">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12</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2EC9A5FF">
    <w:pPr>
      <w:pStyle w:val="1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13970" w:type="dxa"/>
      <w:tblInd w:w="14"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22"/>
      <w:gridCol w:w="1620"/>
      <w:gridCol w:w="7728"/>
    </w:tblGrid>
    <w:tr w14:paraId="786712C4">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622" w:type="dxa"/>
          <w:tcBorders>
            <w:top w:val="single" w:color="000000" w:sz="6" w:space="0"/>
            <w:bottom w:val="single" w:color="000000" w:sz="6" w:space="0"/>
          </w:tcBorders>
        </w:tcPr>
        <w:p w14:paraId="36163757">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20" w:type="dxa"/>
          <w:tcBorders>
            <w:top w:val="single" w:color="000000" w:sz="6" w:space="0"/>
            <w:bottom w:val="single" w:color="000000" w:sz="6" w:space="0"/>
          </w:tcBorders>
        </w:tcPr>
        <w:p w14:paraId="0D55D754">
          <w:pPr>
            <w:pStyle w:val="18"/>
            <w:spacing w:before="40" w:after="20"/>
            <w:ind w:right="-28"/>
            <w:rPr>
              <w:rFonts w:eastAsia="黑体"/>
            </w:rPr>
          </w:pPr>
        </w:p>
      </w:tc>
      <w:tc>
        <w:tcPr>
          <w:tcW w:w="7728" w:type="dxa"/>
          <w:tcBorders>
            <w:top w:val="single" w:color="000000" w:sz="6" w:space="0"/>
            <w:bottom w:val="single" w:color="000000" w:sz="6" w:space="0"/>
          </w:tcBorders>
        </w:tcPr>
        <w:p w14:paraId="31327960">
          <w:pPr>
            <w:pStyle w:val="18"/>
            <w:spacing w:before="40" w:after="20"/>
            <w:ind w:right="-28"/>
            <w:jc w:val="right"/>
            <w:rPr>
              <w:rFonts w:ascii="Arial" w:hAnsi="Arial" w:eastAsia="黑体" w:cs="Arial"/>
              <w:b/>
              <w:bCs/>
            </w:rPr>
          </w:pPr>
          <w:r>
            <w:rPr>
              <w:rStyle w:val="31"/>
              <w:rFonts w:hint="eastAsia" w:ascii="Arial" w:hAnsi="Arial" w:cs="Arial"/>
            </w:rPr>
            <w:t xml:space="preserve"> 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14</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2547E091">
    <w:pPr>
      <w:pStyle w:val="1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8332" w:type="dxa"/>
      <w:tblInd w:w="0"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1606"/>
      <w:gridCol w:w="2239"/>
    </w:tblGrid>
    <w:tr w14:paraId="0C027E8E">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487" w:type="dxa"/>
          <w:tcBorders>
            <w:top w:val="single" w:color="000000" w:sz="6" w:space="0"/>
            <w:bottom w:val="single" w:color="000000" w:sz="6" w:space="0"/>
          </w:tcBorders>
        </w:tcPr>
        <w:p w14:paraId="0B09FA19">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06" w:type="dxa"/>
          <w:tcBorders>
            <w:top w:val="single" w:color="000000" w:sz="6" w:space="0"/>
            <w:bottom w:val="single" w:color="000000" w:sz="6" w:space="0"/>
          </w:tcBorders>
        </w:tcPr>
        <w:p w14:paraId="18CC5A37">
          <w:pPr>
            <w:pStyle w:val="18"/>
            <w:spacing w:before="40" w:after="20"/>
            <w:ind w:right="-28"/>
            <w:rPr>
              <w:rFonts w:eastAsia="黑体"/>
            </w:rPr>
          </w:pPr>
        </w:p>
      </w:tc>
      <w:tc>
        <w:tcPr>
          <w:tcW w:w="2239" w:type="dxa"/>
          <w:tcBorders>
            <w:top w:val="single" w:color="000000" w:sz="6" w:space="0"/>
            <w:bottom w:val="single" w:color="000000" w:sz="6" w:space="0"/>
          </w:tcBorders>
        </w:tcPr>
        <w:p w14:paraId="72ADAE3E">
          <w:pPr>
            <w:pStyle w:val="18"/>
            <w:spacing w:before="40" w:after="20"/>
            <w:ind w:right="-28"/>
            <w:jc w:val="right"/>
            <w:rPr>
              <w:rFonts w:ascii="Arial" w:hAnsi="Arial" w:eastAsia="黑体" w:cs="Arial"/>
              <w:b/>
              <w:bCs/>
            </w:rPr>
          </w:pPr>
          <w:r>
            <w:rPr>
              <w:rStyle w:val="31"/>
              <w:rFonts w:hint="eastAsia" w:ascii="Arial" w:hAnsi="Arial" w:cs="Arial"/>
            </w:rPr>
            <w:t xml:space="preserve">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17</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56BDD524">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0452F">
    <w:pPr>
      <w:pStyle w:val="2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0608E">
    <w:pPr>
      <w:pStyle w:val="20"/>
    </w:pPr>
    <w:r>
      <w:pict>
        <v:shape id="PowerPlusWaterMarkObject1875680283" o:spid="_x0000_s3075" o:spt="136" type="#_x0000_t136" style="position:absolute;left:0pt;height:58.55pt;width:527.3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银河证券招标书V1.3"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4189D">
    <w:pPr>
      <w:pStyle w:val="20"/>
    </w:pPr>
    <w:r>
      <w:pict>
        <v:shape id="PowerPlusWaterMarkObject1875680282" o:spid="_x0000_s3073" o:spt="136" type="#_x0000_t136" style="position:absolute;left:0pt;height:58.55pt;width:527.3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银河证券招标书V1.3"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AFA59">
    <w:pPr>
      <w:pStyle w:val="20"/>
      <w:pBdr>
        <w:bottom w:val="single" w:color="000000" w:sz="6" w:space="1"/>
      </w:pBdr>
      <w:tabs>
        <w:tab w:val="left" w:pos="6645"/>
      </w:tabs>
      <w:jc w:val="right"/>
      <w:rPr>
        <w:rFonts w:eastAsia="黑体"/>
        <w:color w:val="000000"/>
        <w:sz w:val="21"/>
        <w:szCs w:val="21"/>
      </w:rPr>
    </w:pPr>
    <w:r>
      <w:rPr>
        <w:rFonts w:hint="eastAsia" w:eastAsia="黑体"/>
        <w:color w:val="000000"/>
        <w:sz w:val="21"/>
        <w:szCs w:val="21"/>
        <w:lang w:val="en-US" w:eastAsia="zh-CN"/>
      </w:rPr>
      <w:t>招标</w:t>
    </w:r>
    <w:r>
      <w:rPr>
        <w:rFonts w:hint="eastAsia" w:eastAsia="黑体"/>
        <w:color w:val="000000"/>
        <w:sz w:val="21"/>
        <w:szCs w:val="21"/>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EAC9">
    <w:pPr>
      <w:pStyle w:val="20"/>
    </w:pPr>
    <w:r>
      <w:pict>
        <v:shape id="PowerPlusWaterMarkObject1863801770" o:spid="_x0000_s3087" o:spt="136" type="#_x0000_t136" style="position:absolute;left:0pt;height:41.85pt;width:544.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银河证券竞争性谈判文件V1.3" style="font-family:宋体;font-size:1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B9FCD">
    <w:pPr>
      <w:pStyle w:val="20"/>
    </w:pPr>
    <w:r>
      <w:pict>
        <v:shape id="PowerPlusWaterMarkObject1863801769" o:spid="_x0000_s3085" o:spt="136" type="#_x0000_t136" style="position:absolute;left:0pt;height:41.85pt;width:544.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银河证券竞争性谈判文件V1.3" style="font-family:宋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F3F36">
    <w:pPr>
      <w:pStyle w:val="20"/>
      <w:pBdr>
        <w:bottom w:val="single" w:color="000000" w:sz="6" w:space="1"/>
      </w:pBdr>
      <w:tabs>
        <w:tab w:val="left" w:pos="6645"/>
      </w:tabs>
      <w:jc w:val="right"/>
      <w:rPr>
        <w:rFonts w:eastAsia="黑体"/>
        <w:color w:val="000000"/>
        <w:sz w:val="21"/>
        <w:szCs w:val="21"/>
      </w:rPr>
    </w:pPr>
    <w:r>
      <w:rPr>
        <w:rFonts w:hint="eastAsia" w:eastAsia="黑体"/>
        <w:color w:val="000000"/>
        <w:sz w:val="21"/>
        <w:szCs w:val="21"/>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4DFC8">
    <w:pPr>
      <w:pStyle w:val="20"/>
      <w:jc w:val="right"/>
    </w:pPr>
    <w:r>
      <w:rPr>
        <w:rFonts w:hint="eastAsia" w:eastAsia="黑体"/>
        <w:color w:val="000000"/>
        <w:sz w:val="21"/>
        <w:szCs w:val="21"/>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2A84E">
    <w:pPr>
      <w:pStyle w:val="20"/>
    </w:pPr>
    <w:r>
      <w:pict>
        <v:shape id="PowerPlusWaterMarkObject977284147" o:spid="_x0000_s3083" o:spt="136" type="#_x0000_t136" style="position:absolute;left:0pt;height:58.55pt;width:527.3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银河证券招标书V1.2" style="font-family:宋体;font-size:1pt;v-text-align:center;"/>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CCBAB">
    <w:pPr>
      <w:pStyle w:val="20"/>
    </w:pPr>
    <w:r>
      <w:pict>
        <v:shape id="PowerPlusWaterMarkObject977284146" o:spid="_x0000_s3082" o:spt="136" type="#_x0000_t136" style="position:absolute;left:0pt;height:58.55pt;width:527.3pt;mso-position-horizontal:center;mso-position-horizontal-relative:margin;mso-position-vertical:center;mso-position-vertical-relative:margin;rotation:20643840f;z-index:-251653120;mso-width-relative:page;mso-height-relative:page;" fillcolor="#C0C0C0" filled="t" stroked="f" coordsize="21600,21600" o:allowincell="f">
          <v:path/>
          <v:fill on="t" opacity="32768f" focussize="0,0"/>
          <v:stroke on="f"/>
          <v:imagedata o:title=""/>
          <o:lock v:ext="edit"/>
          <v:textpath on="t" fitshape="t" fitpath="t" trim="f" xscale="f" string="银河证券招标书V1.2"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0A6ED"/>
    <w:multiLevelType w:val="multilevel"/>
    <w:tmpl w:val="89E0A6ED"/>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B1A8ADE"/>
    <w:multiLevelType w:val="multilevel"/>
    <w:tmpl w:val="AB1A8ADE"/>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CB67DAC4"/>
    <w:multiLevelType w:val="multilevel"/>
    <w:tmpl w:val="CB67DAC4"/>
    <w:lvl w:ilvl="0" w:tentative="0">
      <w:start w:val="1"/>
      <w:numFmt w:val="decimal"/>
      <w:suff w:val="space"/>
      <w:lvlText w:val="%1."/>
      <w:lvlJc w:val="left"/>
      <w:pPr>
        <w:ind w:left="965" w:hanging="420"/>
      </w:pPr>
    </w:lvl>
    <w:lvl w:ilvl="1" w:tentative="0">
      <w:start w:val="1"/>
      <w:numFmt w:val="lowerLetter"/>
      <w:lvlText w:val="%2)"/>
      <w:lvlJc w:val="left"/>
      <w:pPr>
        <w:ind w:left="1385" w:hanging="420"/>
      </w:pPr>
    </w:lvl>
    <w:lvl w:ilvl="2" w:tentative="0">
      <w:start w:val="1"/>
      <w:numFmt w:val="lowerRoman"/>
      <w:lvlText w:val="%3."/>
      <w:lvlJc w:val="right"/>
      <w:pPr>
        <w:ind w:left="1805" w:hanging="420"/>
      </w:pPr>
    </w:lvl>
    <w:lvl w:ilvl="3" w:tentative="0">
      <w:start w:val="1"/>
      <w:numFmt w:val="decimal"/>
      <w:lvlText w:val="%4."/>
      <w:lvlJc w:val="left"/>
      <w:pPr>
        <w:ind w:left="2225" w:hanging="420"/>
      </w:pPr>
    </w:lvl>
    <w:lvl w:ilvl="4" w:tentative="0">
      <w:start w:val="1"/>
      <w:numFmt w:val="lowerLetter"/>
      <w:lvlText w:val="%5)"/>
      <w:lvlJc w:val="left"/>
      <w:pPr>
        <w:ind w:left="2645" w:hanging="420"/>
      </w:pPr>
    </w:lvl>
    <w:lvl w:ilvl="5" w:tentative="0">
      <w:start w:val="1"/>
      <w:numFmt w:val="lowerRoman"/>
      <w:lvlText w:val="%6."/>
      <w:lvlJc w:val="right"/>
      <w:pPr>
        <w:ind w:left="3065" w:hanging="420"/>
      </w:pPr>
    </w:lvl>
    <w:lvl w:ilvl="6" w:tentative="0">
      <w:start w:val="1"/>
      <w:numFmt w:val="decimal"/>
      <w:lvlText w:val="%7."/>
      <w:lvlJc w:val="left"/>
      <w:pPr>
        <w:ind w:left="3485" w:hanging="420"/>
      </w:pPr>
    </w:lvl>
    <w:lvl w:ilvl="7" w:tentative="0">
      <w:start w:val="1"/>
      <w:numFmt w:val="lowerLetter"/>
      <w:lvlText w:val="%8)"/>
      <w:lvlJc w:val="left"/>
      <w:pPr>
        <w:ind w:left="3905" w:hanging="420"/>
      </w:pPr>
    </w:lvl>
    <w:lvl w:ilvl="8" w:tentative="0">
      <w:start w:val="1"/>
      <w:numFmt w:val="lowerRoman"/>
      <w:lvlText w:val="%9."/>
      <w:lvlJc w:val="right"/>
      <w:pPr>
        <w:ind w:left="4325" w:hanging="420"/>
      </w:pPr>
    </w:lvl>
  </w:abstractNum>
  <w:abstractNum w:abstractNumId="3">
    <w:nsid w:val="CCE8BA1E"/>
    <w:multiLevelType w:val="multilevel"/>
    <w:tmpl w:val="CCE8BA1E"/>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55FF614"/>
    <w:multiLevelType w:val="multilevel"/>
    <w:tmpl w:val="D55FF614"/>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EF950C6A"/>
    <w:multiLevelType w:val="singleLevel"/>
    <w:tmpl w:val="EF950C6A"/>
    <w:lvl w:ilvl="0" w:tentative="0">
      <w:start w:val="1"/>
      <w:numFmt w:val="decimal"/>
      <w:lvlText w:val="%1."/>
      <w:lvlJc w:val="left"/>
      <w:pPr>
        <w:ind w:left="425" w:hanging="425"/>
      </w:pPr>
      <w:rPr>
        <w:rFonts w:hint="default"/>
      </w:rPr>
    </w:lvl>
  </w:abstractNum>
  <w:abstractNum w:abstractNumId="6">
    <w:nsid w:val="F87C0E39"/>
    <w:multiLevelType w:val="multilevel"/>
    <w:tmpl w:val="F87C0E39"/>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99960DB"/>
    <w:multiLevelType w:val="multilevel"/>
    <w:tmpl w:val="099960DB"/>
    <w:lvl w:ilvl="0" w:tentative="0">
      <w:start w:val="1"/>
      <w:numFmt w:val="decimal"/>
      <w:lvlText w:val="%1."/>
      <w:lvlJc w:val="left"/>
      <w:pPr>
        <w:tabs>
          <w:tab w:val="left" w:pos="420"/>
        </w:tabs>
        <w:ind w:left="420" w:hanging="420"/>
      </w:pPr>
      <w:rPr>
        <w:rFonts w:hint="default"/>
        <w:sz w:val="24"/>
        <w:szCs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4EE1516"/>
    <w:multiLevelType w:val="multilevel"/>
    <w:tmpl w:val="14EE1516"/>
    <w:lvl w:ilvl="0" w:tentative="0">
      <w:start w:val="1"/>
      <w:numFmt w:val="decimalEnclosedCircle"/>
      <w:lvlText w:val="%1"/>
      <w:lvlJc w:val="left"/>
      <w:pPr>
        <w:ind w:left="780" w:hanging="360"/>
      </w:pPr>
      <w:rPr>
        <w:rFonts w:hint="default"/>
        <w:color w:val="0D0D0D"/>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16BE2AD1"/>
    <w:multiLevelType w:val="multilevel"/>
    <w:tmpl w:val="16BE2AD1"/>
    <w:lvl w:ilvl="0" w:tentative="0">
      <w:start w:val="1"/>
      <w:numFmt w:val="chineseCountingThousand"/>
      <w:pStyle w:val="37"/>
      <w:lvlText w:val="%1、"/>
      <w:lvlJc w:val="left"/>
      <w:pPr>
        <w:ind w:left="420" w:hanging="420"/>
      </w:pPr>
      <w:rPr>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75262E2"/>
    <w:multiLevelType w:val="multilevel"/>
    <w:tmpl w:val="175262E2"/>
    <w:lvl w:ilvl="0" w:tentative="0">
      <w:start w:val="1"/>
      <w:numFmt w:val="decimal"/>
      <w:lvlText w:val="%1."/>
      <w:lvlJc w:val="left"/>
      <w:pPr>
        <w:ind w:left="4815" w:hanging="420"/>
      </w:pPr>
      <w:rPr>
        <w:rFonts w:ascii="宋体" w:hAnsi="宋体" w:eastAsia="宋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9BF77EF"/>
    <w:multiLevelType w:val="multilevel"/>
    <w:tmpl w:val="19BF77EF"/>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12">
    <w:nsid w:val="1A619862"/>
    <w:multiLevelType w:val="multilevel"/>
    <w:tmpl w:val="1A619862"/>
    <w:lvl w:ilvl="0" w:tentative="0">
      <w:start w:val="1"/>
      <w:numFmt w:val="decimal"/>
      <w:suff w:val="space"/>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0C62F23"/>
    <w:multiLevelType w:val="multilevel"/>
    <w:tmpl w:val="30C62F23"/>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8AF3F53"/>
    <w:multiLevelType w:val="multilevel"/>
    <w:tmpl w:val="38AF3F53"/>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C4C536A"/>
    <w:multiLevelType w:val="multilevel"/>
    <w:tmpl w:val="4C4C536A"/>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16">
    <w:nsid w:val="59A303A2"/>
    <w:multiLevelType w:val="multilevel"/>
    <w:tmpl w:val="59A303A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CFE0AE8"/>
    <w:multiLevelType w:val="singleLevel"/>
    <w:tmpl w:val="7CFE0AE8"/>
    <w:lvl w:ilvl="0" w:tentative="0">
      <w:start w:val="1"/>
      <w:numFmt w:val="decimal"/>
      <w:lvlText w:val="(%1)"/>
      <w:lvlJc w:val="left"/>
      <w:pPr>
        <w:ind w:left="425" w:hanging="425"/>
      </w:pPr>
      <w:rPr>
        <w:rFonts w:hint="default"/>
      </w:rPr>
    </w:lvl>
  </w:abstractNum>
  <w:abstractNum w:abstractNumId="18">
    <w:nsid w:val="7EE14E6B"/>
    <w:multiLevelType w:val="multilevel"/>
    <w:tmpl w:val="7EE14E6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5"/>
  </w:num>
  <w:num w:numId="2">
    <w:abstractNumId w:val="9"/>
  </w:num>
  <w:num w:numId="3">
    <w:abstractNumId w:val="2"/>
  </w:num>
  <w:num w:numId="4">
    <w:abstractNumId w:val="12"/>
  </w:num>
  <w:num w:numId="5">
    <w:abstractNumId w:val="13"/>
  </w:num>
  <w:num w:numId="6">
    <w:abstractNumId w:val="11"/>
  </w:num>
  <w:num w:numId="7">
    <w:abstractNumId w:val="0"/>
  </w:num>
  <w:num w:numId="8">
    <w:abstractNumId w:val="4"/>
  </w:num>
  <w:num w:numId="9">
    <w:abstractNumId w:val="6"/>
  </w:num>
  <w:num w:numId="10">
    <w:abstractNumId w:val="3"/>
  </w:num>
  <w:num w:numId="11">
    <w:abstractNumId w:val="1"/>
  </w:num>
  <w:num w:numId="12">
    <w:abstractNumId w:val="14"/>
  </w:num>
  <w:num w:numId="13">
    <w:abstractNumId w:val="10"/>
  </w:num>
  <w:num w:numId="14">
    <w:abstractNumId w:val="18"/>
  </w:num>
  <w:num w:numId="15">
    <w:abstractNumId w:val="7"/>
  </w:num>
  <w:num w:numId="16">
    <w:abstractNumId w:val="16"/>
  </w:num>
  <w:num w:numId="17">
    <w:abstractNumId w:val="8"/>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ZlMmQxYzY0ZWJmZjg0MzQ0ZjAyMGY5N2ExNDEwNWUifQ=="/>
  </w:docVars>
  <w:rsids>
    <w:rsidRoot w:val="00132993"/>
    <w:rsid w:val="000011CD"/>
    <w:rsid w:val="000018AC"/>
    <w:rsid w:val="00002569"/>
    <w:rsid w:val="0000354D"/>
    <w:rsid w:val="00006353"/>
    <w:rsid w:val="00011A81"/>
    <w:rsid w:val="00012551"/>
    <w:rsid w:val="000139E7"/>
    <w:rsid w:val="000169DA"/>
    <w:rsid w:val="00021E64"/>
    <w:rsid w:val="0002347D"/>
    <w:rsid w:val="00027A11"/>
    <w:rsid w:val="000305BF"/>
    <w:rsid w:val="0003092A"/>
    <w:rsid w:val="0003320C"/>
    <w:rsid w:val="00035EE4"/>
    <w:rsid w:val="000365E5"/>
    <w:rsid w:val="000377F3"/>
    <w:rsid w:val="00037C89"/>
    <w:rsid w:val="000401D0"/>
    <w:rsid w:val="00040B5E"/>
    <w:rsid w:val="000419D4"/>
    <w:rsid w:val="00043E02"/>
    <w:rsid w:val="00044575"/>
    <w:rsid w:val="00044D67"/>
    <w:rsid w:val="0004530E"/>
    <w:rsid w:val="000459E5"/>
    <w:rsid w:val="00046832"/>
    <w:rsid w:val="0005155D"/>
    <w:rsid w:val="00052386"/>
    <w:rsid w:val="00052879"/>
    <w:rsid w:val="00053EA0"/>
    <w:rsid w:val="00056ABE"/>
    <w:rsid w:val="00056B95"/>
    <w:rsid w:val="00057022"/>
    <w:rsid w:val="0005769A"/>
    <w:rsid w:val="00057A15"/>
    <w:rsid w:val="00057A69"/>
    <w:rsid w:val="00061885"/>
    <w:rsid w:val="00061E17"/>
    <w:rsid w:val="00061EDE"/>
    <w:rsid w:val="0006350F"/>
    <w:rsid w:val="00067328"/>
    <w:rsid w:val="00070250"/>
    <w:rsid w:val="00071916"/>
    <w:rsid w:val="0007778E"/>
    <w:rsid w:val="000779F1"/>
    <w:rsid w:val="000818E5"/>
    <w:rsid w:val="0008489A"/>
    <w:rsid w:val="00085496"/>
    <w:rsid w:val="000857B8"/>
    <w:rsid w:val="0008752F"/>
    <w:rsid w:val="00087B48"/>
    <w:rsid w:val="0009123A"/>
    <w:rsid w:val="00092B54"/>
    <w:rsid w:val="000937C0"/>
    <w:rsid w:val="00094823"/>
    <w:rsid w:val="00095A06"/>
    <w:rsid w:val="00096CFF"/>
    <w:rsid w:val="000974E9"/>
    <w:rsid w:val="000A0A56"/>
    <w:rsid w:val="000A1607"/>
    <w:rsid w:val="000A1DDD"/>
    <w:rsid w:val="000A4180"/>
    <w:rsid w:val="000A6930"/>
    <w:rsid w:val="000A7099"/>
    <w:rsid w:val="000A773A"/>
    <w:rsid w:val="000B2008"/>
    <w:rsid w:val="000B2E9B"/>
    <w:rsid w:val="000B6B20"/>
    <w:rsid w:val="000B6E8E"/>
    <w:rsid w:val="000B6FD2"/>
    <w:rsid w:val="000C0F4F"/>
    <w:rsid w:val="000C22C5"/>
    <w:rsid w:val="000C2C0D"/>
    <w:rsid w:val="000C5026"/>
    <w:rsid w:val="000C5FC8"/>
    <w:rsid w:val="000C638E"/>
    <w:rsid w:val="000D0CBC"/>
    <w:rsid w:val="000D11A3"/>
    <w:rsid w:val="000D12B5"/>
    <w:rsid w:val="000D34C7"/>
    <w:rsid w:val="000D730F"/>
    <w:rsid w:val="000D7815"/>
    <w:rsid w:val="000E03B0"/>
    <w:rsid w:val="000E1B12"/>
    <w:rsid w:val="000E34D4"/>
    <w:rsid w:val="000E4418"/>
    <w:rsid w:val="000E63A7"/>
    <w:rsid w:val="000E6877"/>
    <w:rsid w:val="000E72FF"/>
    <w:rsid w:val="000F1C7E"/>
    <w:rsid w:val="000F5128"/>
    <w:rsid w:val="000F5530"/>
    <w:rsid w:val="000F78C6"/>
    <w:rsid w:val="000F7996"/>
    <w:rsid w:val="00100350"/>
    <w:rsid w:val="001025AF"/>
    <w:rsid w:val="0010315C"/>
    <w:rsid w:val="00112E1D"/>
    <w:rsid w:val="00115FDD"/>
    <w:rsid w:val="00120064"/>
    <w:rsid w:val="00120792"/>
    <w:rsid w:val="00121261"/>
    <w:rsid w:val="00121C4F"/>
    <w:rsid w:val="001229A3"/>
    <w:rsid w:val="00123128"/>
    <w:rsid w:val="001238C7"/>
    <w:rsid w:val="00123A22"/>
    <w:rsid w:val="00124441"/>
    <w:rsid w:val="00125CC6"/>
    <w:rsid w:val="00125DD5"/>
    <w:rsid w:val="00126037"/>
    <w:rsid w:val="00126F53"/>
    <w:rsid w:val="00127809"/>
    <w:rsid w:val="00132528"/>
    <w:rsid w:val="00132993"/>
    <w:rsid w:val="00133566"/>
    <w:rsid w:val="001335ED"/>
    <w:rsid w:val="001337E6"/>
    <w:rsid w:val="00133FD2"/>
    <w:rsid w:val="001343B7"/>
    <w:rsid w:val="00134411"/>
    <w:rsid w:val="001379DF"/>
    <w:rsid w:val="00140762"/>
    <w:rsid w:val="00140952"/>
    <w:rsid w:val="00140C99"/>
    <w:rsid w:val="00144914"/>
    <w:rsid w:val="001459F1"/>
    <w:rsid w:val="00150A11"/>
    <w:rsid w:val="001542BD"/>
    <w:rsid w:val="001546C1"/>
    <w:rsid w:val="001602A5"/>
    <w:rsid w:val="00160A3F"/>
    <w:rsid w:val="00160CE5"/>
    <w:rsid w:val="00160F16"/>
    <w:rsid w:val="0016192F"/>
    <w:rsid w:val="00164D4B"/>
    <w:rsid w:val="001650BC"/>
    <w:rsid w:val="00165D19"/>
    <w:rsid w:val="00166AB6"/>
    <w:rsid w:val="001703C8"/>
    <w:rsid w:val="00170CE5"/>
    <w:rsid w:val="00172BBE"/>
    <w:rsid w:val="001740E0"/>
    <w:rsid w:val="001740E6"/>
    <w:rsid w:val="0017468F"/>
    <w:rsid w:val="00175B1E"/>
    <w:rsid w:val="00177258"/>
    <w:rsid w:val="00183693"/>
    <w:rsid w:val="001853D9"/>
    <w:rsid w:val="0018678D"/>
    <w:rsid w:val="00187DD6"/>
    <w:rsid w:val="00192F14"/>
    <w:rsid w:val="00194631"/>
    <w:rsid w:val="001949C6"/>
    <w:rsid w:val="0019733B"/>
    <w:rsid w:val="001A17A7"/>
    <w:rsid w:val="001A213A"/>
    <w:rsid w:val="001A3ABC"/>
    <w:rsid w:val="001A52CE"/>
    <w:rsid w:val="001A7B04"/>
    <w:rsid w:val="001B01DD"/>
    <w:rsid w:val="001B11DF"/>
    <w:rsid w:val="001B1C73"/>
    <w:rsid w:val="001B3981"/>
    <w:rsid w:val="001B41B4"/>
    <w:rsid w:val="001B489C"/>
    <w:rsid w:val="001B4C97"/>
    <w:rsid w:val="001B56EF"/>
    <w:rsid w:val="001B58EA"/>
    <w:rsid w:val="001B7C0E"/>
    <w:rsid w:val="001C24F9"/>
    <w:rsid w:val="001C42B3"/>
    <w:rsid w:val="001C4E48"/>
    <w:rsid w:val="001C7534"/>
    <w:rsid w:val="001D1A71"/>
    <w:rsid w:val="001D506E"/>
    <w:rsid w:val="001E6B7A"/>
    <w:rsid w:val="001E6D20"/>
    <w:rsid w:val="001E7716"/>
    <w:rsid w:val="001F0E10"/>
    <w:rsid w:val="001F1441"/>
    <w:rsid w:val="001F2E95"/>
    <w:rsid w:val="001F7F05"/>
    <w:rsid w:val="002019ED"/>
    <w:rsid w:val="00201BDA"/>
    <w:rsid w:val="00202622"/>
    <w:rsid w:val="00202A1F"/>
    <w:rsid w:val="0020322F"/>
    <w:rsid w:val="00203D21"/>
    <w:rsid w:val="00203E52"/>
    <w:rsid w:val="002062E0"/>
    <w:rsid w:val="00210CFC"/>
    <w:rsid w:val="00213D29"/>
    <w:rsid w:val="00216F0B"/>
    <w:rsid w:val="00220EA8"/>
    <w:rsid w:val="002212D5"/>
    <w:rsid w:val="002224FB"/>
    <w:rsid w:val="00222E31"/>
    <w:rsid w:val="0022331A"/>
    <w:rsid w:val="00223C34"/>
    <w:rsid w:val="0022412C"/>
    <w:rsid w:val="00225594"/>
    <w:rsid w:val="00226EC6"/>
    <w:rsid w:val="0022750A"/>
    <w:rsid w:val="0023018B"/>
    <w:rsid w:val="00233DCC"/>
    <w:rsid w:val="00234536"/>
    <w:rsid w:val="00236B29"/>
    <w:rsid w:val="00237300"/>
    <w:rsid w:val="00240A6F"/>
    <w:rsid w:val="00240CC7"/>
    <w:rsid w:val="0024183A"/>
    <w:rsid w:val="00241A1A"/>
    <w:rsid w:val="002448DD"/>
    <w:rsid w:val="0024591C"/>
    <w:rsid w:val="002468DE"/>
    <w:rsid w:val="0024762B"/>
    <w:rsid w:val="00247DCA"/>
    <w:rsid w:val="00250AF4"/>
    <w:rsid w:val="0025392F"/>
    <w:rsid w:val="00253D87"/>
    <w:rsid w:val="00254BE4"/>
    <w:rsid w:val="00254D8C"/>
    <w:rsid w:val="00255C94"/>
    <w:rsid w:val="002603EB"/>
    <w:rsid w:val="00260796"/>
    <w:rsid w:val="00260D52"/>
    <w:rsid w:val="00261BEC"/>
    <w:rsid w:val="002624C1"/>
    <w:rsid w:val="00262673"/>
    <w:rsid w:val="0026336B"/>
    <w:rsid w:val="002646F4"/>
    <w:rsid w:val="00265216"/>
    <w:rsid w:val="0026685E"/>
    <w:rsid w:val="00275ED6"/>
    <w:rsid w:val="00276524"/>
    <w:rsid w:val="00277AD2"/>
    <w:rsid w:val="002802AA"/>
    <w:rsid w:val="00280506"/>
    <w:rsid w:val="00283454"/>
    <w:rsid w:val="00286ECA"/>
    <w:rsid w:val="00290ADA"/>
    <w:rsid w:val="002927D3"/>
    <w:rsid w:val="0029444D"/>
    <w:rsid w:val="00294E7F"/>
    <w:rsid w:val="00295800"/>
    <w:rsid w:val="0029714F"/>
    <w:rsid w:val="002976C7"/>
    <w:rsid w:val="002A4917"/>
    <w:rsid w:val="002A732C"/>
    <w:rsid w:val="002B068D"/>
    <w:rsid w:val="002B145B"/>
    <w:rsid w:val="002B5101"/>
    <w:rsid w:val="002B76B7"/>
    <w:rsid w:val="002C0C9C"/>
    <w:rsid w:val="002C18AB"/>
    <w:rsid w:val="002C2F8C"/>
    <w:rsid w:val="002C340C"/>
    <w:rsid w:val="002C720F"/>
    <w:rsid w:val="002D0159"/>
    <w:rsid w:val="002D06E9"/>
    <w:rsid w:val="002D42F4"/>
    <w:rsid w:val="002D4884"/>
    <w:rsid w:val="002D718D"/>
    <w:rsid w:val="002D7C34"/>
    <w:rsid w:val="002E2AD9"/>
    <w:rsid w:val="002E31E6"/>
    <w:rsid w:val="002E34EF"/>
    <w:rsid w:val="002E6586"/>
    <w:rsid w:val="002F0634"/>
    <w:rsid w:val="002F363B"/>
    <w:rsid w:val="002F583B"/>
    <w:rsid w:val="002F622A"/>
    <w:rsid w:val="002F66D1"/>
    <w:rsid w:val="002F78C7"/>
    <w:rsid w:val="00301065"/>
    <w:rsid w:val="003012C7"/>
    <w:rsid w:val="00304B37"/>
    <w:rsid w:val="00304DA0"/>
    <w:rsid w:val="0030543F"/>
    <w:rsid w:val="0030733D"/>
    <w:rsid w:val="00310259"/>
    <w:rsid w:val="0031186D"/>
    <w:rsid w:val="00312420"/>
    <w:rsid w:val="0031349B"/>
    <w:rsid w:val="00313536"/>
    <w:rsid w:val="00313A42"/>
    <w:rsid w:val="00314504"/>
    <w:rsid w:val="00315770"/>
    <w:rsid w:val="003204B4"/>
    <w:rsid w:val="00320A70"/>
    <w:rsid w:val="00321191"/>
    <w:rsid w:val="00327B4D"/>
    <w:rsid w:val="00330977"/>
    <w:rsid w:val="00330E8B"/>
    <w:rsid w:val="00333231"/>
    <w:rsid w:val="003337AB"/>
    <w:rsid w:val="00340B44"/>
    <w:rsid w:val="00341070"/>
    <w:rsid w:val="003432A9"/>
    <w:rsid w:val="0034385C"/>
    <w:rsid w:val="00344812"/>
    <w:rsid w:val="00350010"/>
    <w:rsid w:val="00351FD1"/>
    <w:rsid w:val="003551A3"/>
    <w:rsid w:val="003556F9"/>
    <w:rsid w:val="00356549"/>
    <w:rsid w:val="003566E1"/>
    <w:rsid w:val="003576BE"/>
    <w:rsid w:val="00362ECE"/>
    <w:rsid w:val="00364AE2"/>
    <w:rsid w:val="003658D8"/>
    <w:rsid w:val="00366830"/>
    <w:rsid w:val="00370C74"/>
    <w:rsid w:val="00371BBB"/>
    <w:rsid w:val="00374AB7"/>
    <w:rsid w:val="00374D20"/>
    <w:rsid w:val="0037504C"/>
    <w:rsid w:val="00375669"/>
    <w:rsid w:val="00375B36"/>
    <w:rsid w:val="00377A74"/>
    <w:rsid w:val="00380717"/>
    <w:rsid w:val="00380720"/>
    <w:rsid w:val="00380B77"/>
    <w:rsid w:val="00380F3A"/>
    <w:rsid w:val="00381767"/>
    <w:rsid w:val="00381786"/>
    <w:rsid w:val="00382E58"/>
    <w:rsid w:val="003854DF"/>
    <w:rsid w:val="00385BB8"/>
    <w:rsid w:val="00390A6C"/>
    <w:rsid w:val="00390D92"/>
    <w:rsid w:val="003915FA"/>
    <w:rsid w:val="003930C8"/>
    <w:rsid w:val="0039396D"/>
    <w:rsid w:val="0039470D"/>
    <w:rsid w:val="00394AF2"/>
    <w:rsid w:val="00395662"/>
    <w:rsid w:val="0039576B"/>
    <w:rsid w:val="0039784E"/>
    <w:rsid w:val="003A0BDF"/>
    <w:rsid w:val="003A2C12"/>
    <w:rsid w:val="003A678F"/>
    <w:rsid w:val="003B0501"/>
    <w:rsid w:val="003B114E"/>
    <w:rsid w:val="003B2BEE"/>
    <w:rsid w:val="003B2F34"/>
    <w:rsid w:val="003B519F"/>
    <w:rsid w:val="003B565F"/>
    <w:rsid w:val="003C0D9C"/>
    <w:rsid w:val="003C1F3B"/>
    <w:rsid w:val="003C210B"/>
    <w:rsid w:val="003C650E"/>
    <w:rsid w:val="003C7DD1"/>
    <w:rsid w:val="003D1672"/>
    <w:rsid w:val="003D1B0C"/>
    <w:rsid w:val="003D1B2E"/>
    <w:rsid w:val="003D264C"/>
    <w:rsid w:val="003D2855"/>
    <w:rsid w:val="003D2F65"/>
    <w:rsid w:val="003D39BA"/>
    <w:rsid w:val="003D60CA"/>
    <w:rsid w:val="003E017D"/>
    <w:rsid w:val="003E0360"/>
    <w:rsid w:val="003E140C"/>
    <w:rsid w:val="003E22C9"/>
    <w:rsid w:val="003E2D8A"/>
    <w:rsid w:val="003E2FDF"/>
    <w:rsid w:val="003E3F22"/>
    <w:rsid w:val="003E583C"/>
    <w:rsid w:val="003E7227"/>
    <w:rsid w:val="003F52C3"/>
    <w:rsid w:val="00400283"/>
    <w:rsid w:val="0040196D"/>
    <w:rsid w:val="004062DD"/>
    <w:rsid w:val="00407C22"/>
    <w:rsid w:val="0041622C"/>
    <w:rsid w:val="0041675A"/>
    <w:rsid w:val="00417AF3"/>
    <w:rsid w:val="00420729"/>
    <w:rsid w:val="004209B2"/>
    <w:rsid w:val="00420AC2"/>
    <w:rsid w:val="00422165"/>
    <w:rsid w:val="0042339D"/>
    <w:rsid w:val="00424284"/>
    <w:rsid w:val="004247EE"/>
    <w:rsid w:val="00425369"/>
    <w:rsid w:val="00425F4F"/>
    <w:rsid w:val="004307CB"/>
    <w:rsid w:val="00433ED5"/>
    <w:rsid w:val="00434BF6"/>
    <w:rsid w:val="00436258"/>
    <w:rsid w:val="00436C0D"/>
    <w:rsid w:val="004377EF"/>
    <w:rsid w:val="00440B74"/>
    <w:rsid w:val="0044142D"/>
    <w:rsid w:val="00442072"/>
    <w:rsid w:val="00443306"/>
    <w:rsid w:val="00444348"/>
    <w:rsid w:val="0044441D"/>
    <w:rsid w:val="00444435"/>
    <w:rsid w:val="0044519B"/>
    <w:rsid w:val="00445C72"/>
    <w:rsid w:val="00447622"/>
    <w:rsid w:val="00451213"/>
    <w:rsid w:val="00451F0D"/>
    <w:rsid w:val="00452146"/>
    <w:rsid w:val="004528E0"/>
    <w:rsid w:val="004561F7"/>
    <w:rsid w:val="00456274"/>
    <w:rsid w:val="004573A3"/>
    <w:rsid w:val="0046041F"/>
    <w:rsid w:val="00463E90"/>
    <w:rsid w:val="00464001"/>
    <w:rsid w:val="004645DF"/>
    <w:rsid w:val="0046573A"/>
    <w:rsid w:val="00465E1E"/>
    <w:rsid w:val="00466FDA"/>
    <w:rsid w:val="00467431"/>
    <w:rsid w:val="004702F0"/>
    <w:rsid w:val="004723DD"/>
    <w:rsid w:val="0047556E"/>
    <w:rsid w:val="00476DC3"/>
    <w:rsid w:val="00477310"/>
    <w:rsid w:val="00480AF8"/>
    <w:rsid w:val="00484E96"/>
    <w:rsid w:val="00487F0A"/>
    <w:rsid w:val="004913BA"/>
    <w:rsid w:val="00492745"/>
    <w:rsid w:val="00493FAC"/>
    <w:rsid w:val="0049443B"/>
    <w:rsid w:val="00496DFD"/>
    <w:rsid w:val="00497988"/>
    <w:rsid w:val="004A1D58"/>
    <w:rsid w:val="004A27C3"/>
    <w:rsid w:val="004A27EA"/>
    <w:rsid w:val="004A386E"/>
    <w:rsid w:val="004A5601"/>
    <w:rsid w:val="004A584F"/>
    <w:rsid w:val="004A7888"/>
    <w:rsid w:val="004A7931"/>
    <w:rsid w:val="004B1762"/>
    <w:rsid w:val="004B238D"/>
    <w:rsid w:val="004B3308"/>
    <w:rsid w:val="004B346D"/>
    <w:rsid w:val="004B35CC"/>
    <w:rsid w:val="004B4959"/>
    <w:rsid w:val="004B5370"/>
    <w:rsid w:val="004B6C76"/>
    <w:rsid w:val="004C1FB8"/>
    <w:rsid w:val="004C251A"/>
    <w:rsid w:val="004C34CE"/>
    <w:rsid w:val="004C4478"/>
    <w:rsid w:val="004C47BA"/>
    <w:rsid w:val="004C6A51"/>
    <w:rsid w:val="004C779F"/>
    <w:rsid w:val="004D0397"/>
    <w:rsid w:val="004D246C"/>
    <w:rsid w:val="004D2E25"/>
    <w:rsid w:val="004D41DE"/>
    <w:rsid w:val="004D611B"/>
    <w:rsid w:val="004E0875"/>
    <w:rsid w:val="004E2770"/>
    <w:rsid w:val="004E4B87"/>
    <w:rsid w:val="004E4CF4"/>
    <w:rsid w:val="004E7BC6"/>
    <w:rsid w:val="004E7CAC"/>
    <w:rsid w:val="004F00FD"/>
    <w:rsid w:val="004F3D35"/>
    <w:rsid w:val="004F55BF"/>
    <w:rsid w:val="004F61AA"/>
    <w:rsid w:val="004F701B"/>
    <w:rsid w:val="0050159F"/>
    <w:rsid w:val="0050331F"/>
    <w:rsid w:val="00503EA3"/>
    <w:rsid w:val="00504144"/>
    <w:rsid w:val="00504B5B"/>
    <w:rsid w:val="005070D3"/>
    <w:rsid w:val="00507982"/>
    <w:rsid w:val="00510F16"/>
    <w:rsid w:val="00511B39"/>
    <w:rsid w:val="0051352B"/>
    <w:rsid w:val="00516048"/>
    <w:rsid w:val="0051620E"/>
    <w:rsid w:val="005218A6"/>
    <w:rsid w:val="00521A03"/>
    <w:rsid w:val="00523724"/>
    <w:rsid w:val="00525258"/>
    <w:rsid w:val="00526CAE"/>
    <w:rsid w:val="00526F71"/>
    <w:rsid w:val="005279ED"/>
    <w:rsid w:val="0053011E"/>
    <w:rsid w:val="0053266A"/>
    <w:rsid w:val="00535AE0"/>
    <w:rsid w:val="00537475"/>
    <w:rsid w:val="00537C1B"/>
    <w:rsid w:val="0054073D"/>
    <w:rsid w:val="00540889"/>
    <w:rsid w:val="005420E5"/>
    <w:rsid w:val="00543444"/>
    <w:rsid w:val="0054373D"/>
    <w:rsid w:val="005453BF"/>
    <w:rsid w:val="005478EF"/>
    <w:rsid w:val="00553DDB"/>
    <w:rsid w:val="00554200"/>
    <w:rsid w:val="0055568E"/>
    <w:rsid w:val="00555814"/>
    <w:rsid w:val="005560D6"/>
    <w:rsid w:val="0055617B"/>
    <w:rsid w:val="005579A7"/>
    <w:rsid w:val="00557A29"/>
    <w:rsid w:val="00557BE1"/>
    <w:rsid w:val="00560D76"/>
    <w:rsid w:val="005624BA"/>
    <w:rsid w:val="00562848"/>
    <w:rsid w:val="00564637"/>
    <w:rsid w:val="00564DD7"/>
    <w:rsid w:val="00566771"/>
    <w:rsid w:val="00567976"/>
    <w:rsid w:val="005701BC"/>
    <w:rsid w:val="00570889"/>
    <w:rsid w:val="00571EE6"/>
    <w:rsid w:val="0057363D"/>
    <w:rsid w:val="00573E94"/>
    <w:rsid w:val="00576A1D"/>
    <w:rsid w:val="00580E56"/>
    <w:rsid w:val="00581A36"/>
    <w:rsid w:val="00582163"/>
    <w:rsid w:val="00582248"/>
    <w:rsid w:val="0059279A"/>
    <w:rsid w:val="0059393C"/>
    <w:rsid w:val="00593B27"/>
    <w:rsid w:val="00597A84"/>
    <w:rsid w:val="005A0297"/>
    <w:rsid w:val="005A03AB"/>
    <w:rsid w:val="005A096F"/>
    <w:rsid w:val="005A0A4E"/>
    <w:rsid w:val="005A306A"/>
    <w:rsid w:val="005A3D2A"/>
    <w:rsid w:val="005A46BE"/>
    <w:rsid w:val="005A6277"/>
    <w:rsid w:val="005B0851"/>
    <w:rsid w:val="005B0E8E"/>
    <w:rsid w:val="005B5786"/>
    <w:rsid w:val="005B6085"/>
    <w:rsid w:val="005B7626"/>
    <w:rsid w:val="005C15EF"/>
    <w:rsid w:val="005C467E"/>
    <w:rsid w:val="005C4B4E"/>
    <w:rsid w:val="005D19A6"/>
    <w:rsid w:val="005D3BC9"/>
    <w:rsid w:val="005D41F7"/>
    <w:rsid w:val="005D472B"/>
    <w:rsid w:val="005D70F8"/>
    <w:rsid w:val="005E039B"/>
    <w:rsid w:val="005E0E86"/>
    <w:rsid w:val="005E0FB9"/>
    <w:rsid w:val="005E34AF"/>
    <w:rsid w:val="005E4489"/>
    <w:rsid w:val="005E55EC"/>
    <w:rsid w:val="005E5CB6"/>
    <w:rsid w:val="005E5CBE"/>
    <w:rsid w:val="005E73E1"/>
    <w:rsid w:val="005E7892"/>
    <w:rsid w:val="005F0690"/>
    <w:rsid w:val="005F0B69"/>
    <w:rsid w:val="005F11CE"/>
    <w:rsid w:val="005F3243"/>
    <w:rsid w:val="005F325E"/>
    <w:rsid w:val="005F5192"/>
    <w:rsid w:val="005F67C4"/>
    <w:rsid w:val="005F6800"/>
    <w:rsid w:val="00600A94"/>
    <w:rsid w:val="006020B8"/>
    <w:rsid w:val="00603187"/>
    <w:rsid w:val="00605EA2"/>
    <w:rsid w:val="00606084"/>
    <w:rsid w:val="006068CB"/>
    <w:rsid w:val="006071B4"/>
    <w:rsid w:val="00607BBF"/>
    <w:rsid w:val="00607E07"/>
    <w:rsid w:val="00610319"/>
    <w:rsid w:val="006115B6"/>
    <w:rsid w:val="00612326"/>
    <w:rsid w:val="00612472"/>
    <w:rsid w:val="006144FE"/>
    <w:rsid w:val="006155BB"/>
    <w:rsid w:val="006164B6"/>
    <w:rsid w:val="00616ED4"/>
    <w:rsid w:val="00622172"/>
    <w:rsid w:val="00623D6E"/>
    <w:rsid w:val="0062498B"/>
    <w:rsid w:val="0062513D"/>
    <w:rsid w:val="00627812"/>
    <w:rsid w:val="006278A3"/>
    <w:rsid w:val="006313A6"/>
    <w:rsid w:val="00631B2D"/>
    <w:rsid w:val="00632573"/>
    <w:rsid w:val="006332C9"/>
    <w:rsid w:val="00634A51"/>
    <w:rsid w:val="00634DA5"/>
    <w:rsid w:val="006353AF"/>
    <w:rsid w:val="00635EA0"/>
    <w:rsid w:val="00637D81"/>
    <w:rsid w:val="006421E7"/>
    <w:rsid w:val="00642574"/>
    <w:rsid w:val="00643EB1"/>
    <w:rsid w:val="006513E4"/>
    <w:rsid w:val="00651982"/>
    <w:rsid w:val="006521DD"/>
    <w:rsid w:val="00653275"/>
    <w:rsid w:val="006537E7"/>
    <w:rsid w:val="00654582"/>
    <w:rsid w:val="00655EB3"/>
    <w:rsid w:val="00655F68"/>
    <w:rsid w:val="0065747C"/>
    <w:rsid w:val="00657838"/>
    <w:rsid w:val="006600F7"/>
    <w:rsid w:val="0066021C"/>
    <w:rsid w:val="00661657"/>
    <w:rsid w:val="00661C20"/>
    <w:rsid w:val="00663062"/>
    <w:rsid w:val="00663AF1"/>
    <w:rsid w:val="006650B4"/>
    <w:rsid w:val="00666E57"/>
    <w:rsid w:val="006671C2"/>
    <w:rsid w:val="0067026F"/>
    <w:rsid w:val="00672343"/>
    <w:rsid w:val="00672E1D"/>
    <w:rsid w:val="00674A9F"/>
    <w:rsid w:val="006815AA"/>
    <w:rsid w:val="00683312"/>
    <w:rsid w:val="00683E88"/>
    <w:rsid w:val="00684103"/>
    <w:rsid w:val="00684E75"/>
    <w:rsid w:val="00685D87"/>
    <w:rsid w:val="0068787E"/>
    <w:rsid w:val="006879B6"/>
    <w:rsid w:val="00690A39"/>
    <w:rsid w:val="00691D0F"/>
    <w:rsid w:val="006939FF"/>
    <w:rsid w:val="00693DF3"/>
    <w:rsid w:val="006A0C10"/>
    <w:rsid w:val="006A5E24"/>
    <w:rsid w:val="006A7012"/>
    <w:rsid w:val="006B1108"/>
    <w:rsid w:val="006B159A"/>
    <w:rsid w:val="006B1E44"/>
    <w:rsid w:val="006B2324"/>
    <w:rsid w:val="006B23A5"/>
    <w:rsid w:val="006B2F35"/>
    <w:rsid w:val="006B367B"/>
    <w:rsid w:val="006B61B0"/>
    <w:rsid w:val="006B729A"/>
    <w:rsid w:val="006C0A96"/>
    <w:rsid w:val="006C1AD5"/>
    <w:rsid w:val="006C37E8"/>
    <w:rsid w:val="006C3B7F"/>
    <w:rsid w:val="006C3E4D"/>
    <w:rsid w:val="006C45E5"/>
    <w:rsid w:val="006C4D3B"/>
    <w:rsid w:val="006C7EF5"/>
    <w:rsid w:val="006D5925"/>
    <w:rsid w:val="006D6AE8"/>
    <w:rsid w:val="006E0271"/>
    <w:rsid w:val="006E073D"/>
    <w:rsid w:val="006E1BB8"/>
    <w:rsid w:val="006E5250"/>
    <w:rsid w:val="006F028A"/>
    <w:rsid w:val="006F0969"/>
    <w:rsid w:val="006F3357"/>
    <w:rsid w:val="006F3B14"/>
    <w:rsid w:val="006F5505"/>
    <w:rsid w:val="00701DD3"/>
    <w:rsid w:val="0070246A"/>
    <w:rsid w:val="007029D6"/>
    <w:rsid w:val="00702CA0"/>
    <w:rsid w:val="00702F93"/>
    <w:rsid w:val="00705286"/>
    <w:rsid w:val="00705CD2"/>
    <w:rsid w:val="00705F09"/>
    <w:rsid w:val="007064EA"/>
    <w:rsid w:val="0070735B"/>
    <w:rsid w:val="00707CD9"/>
    <w:rsid w:val="00711483"/>
    <w:rsid w:val="007123C8"/>
    <w:rsid w:val="00715C19"/>
    <w:rsid w:val="007165B7"/>
    <w:rsid w:val="007170AE"/>
    <w:rsid w:val="00717155"/>
    <w:rsid w:val="007200E2"/>
    <w:rsid w:val="0072126C"/>
    <w:rsid w:val="00721C62"/>
    <w:rsid w:val="00723543"/>
    <w:rsid w:val="00724CF3"/>
    <w:rsid w:val="00725119"/>
    <w:rsid w:val="00725F61"/>
    <w:rsid w:val="007274A8"/>
    <w:rsid w:val="007275F4"/>
    <w:rsid w:val="00727E00"/>
    <w:rsid w:val="00730868"/>
    <w:rsid w:val="007308B2"/>
    <w:rsid w:val="00733193"/>
    <w:rsid w:val="00733902"/>
    <w:rsid w:val="007339C6"/>
    <w:rsid w:val="00733D5C"/>
    <w:rsid w:val="0073581B"/>
    <w:rsid w:val="007365E6"/>
    <w:rsid w:val="00736FDA"/>
    <w:rsid w:val="00741B7D"/>
    <w:rsid w:val="00742DAD"/>
    <w:rsid w:val="00743772"/>
    <w:rsid w:val="00743F4D"/>
    <w:rsid w:val="007444F6"/>
    <w:rsid w:val="007524A0"/>
    <w:rsid w:val="00752A0A"/>
    <w:rsid w:val="00752B4F"/>
    <w:rsid w:val="007558AB"/>
    <w:rsid w:val="0075611B"/>
    <w:rsid w:val="00757BC9"/>
    <w:rsid w:val="00757C9C"/>
    <w:rsid w:val="00761F55"/>
    <w:rsid w:val="00762785"/>
    <w:rsid w:val="0076434D"/>
    <w:rsid w:val="00764CAC"/>
    <w:rsid w:val="00764E36"/>
    <w:rsid w:val="00765F52"/>
    <w:rsid w:val="00767B3A"/>
    <w:rsid w:val="007707BB"/>
    <w:rsid w:val="00774681"/>
    <w:rsid w:val="0078385F"/>
    <w:rsid w:val="00785004"/>
    <w:rsid w:val="00785E30"/>
    <w:rsid w:val="007864FB"/>
    <w:rsid w:val="00786A52"/>
    <w:rsid w:val="007871F8"/>
    <w:rsid w:val="0079110A"/>
    <w:rsid w:val="007916A8"/>
    <w:rsid w:val="00793394"/>
    <w:rsid w:val="00793CC9"/>
    <w:rsid w:val="00793CE2"/>
    <w:rsid w:val="00794000"/>
    <w:rsid w:val="00795F94"/>
    <w:rsid w:val="007A1F2E"/>
    <w:rsid w:val="007A2402"/>
    <w:rsid w:val="007A4D53"/>
    <w:rsid w:val="007A6016"/>
    <w:rsid w:val="007A7289"/>
    <w:rsid w:val="007A7BBD"/>
    <w:rsid w:val="007B28F5"/>
    <w:rsid w:val="007B2E25"/>
    <w:rsid w:val="007B49C4"/>
    <w:rsid w:val="007B528D"/>
    <w:rsid w:val="007B5DAB"/>
    <w:rsid w:val="007C08CD"/>
    <w:rsid w:val="007C28EE"/>
    <w:rsid w:val="007C2FC9"/>
    <w:rsid w:val="007C530D"/>
    <w:rsid w:val="007C5C46"/>
    <w:rsid w:val="007D05EA"/>
    <w:rsid w:val="007D60EC"/>
    <w:rsid w:val="007D6F38"/>
    <w:rsid w:val="007D6FB0"/>
    <w:rsid w:val="007D70FF"/>
    <w:rsid w:val="007E20BF"/>
    <w:rsid w:val="007E2A49"/>
    <w:rsid w:val="007E2FFB"/>
    <w:rsid w:val="007E3B19"/>
    <w:rsid w:val="007E3D72"/>
    <w:rsid w:val="007E6BD4"/>
    <w:rsid w:val="007E70DD"/>
    <w:rsid w:val="007F1D52"/>
    <w:rsid w:val="007F23BB"/>
    <w:rsid w:val="007F24BF"/>
    <w:rsid w:val="007F34A4"/>
    <w:rsid w:val="007F540C"/>
    <w:rsid w:val="007F5D43"/>
    <w:rsid w:val="007F5EE0"/>
    <w:rsid w:val="007F712F"/>
    <w:rsid w:val="007F7943"/>
    <w:rsid w:val="00800578"/>
    <w:rsid w:val="00801DD4"/>
    <w:rsid w:val="008025CA"/>
    <w:rsid w:val="00803B32"/>
    <w:rsid w:val="00804174"/>
    <w:rsid w:val="008048E4"/>
    <w:rsid w:val="00805D10"/>
    <w:rsid w:val="00805FB9"/>
    <w:rsid w:val="008068AA"/>
    <w:rsid w:val="00806F37"/>
    <w:rsid w:val="00807941"/>
    <w:rsid w:val="0081042D"/>
    <w:rsid w:val="00811645"/>
    <w:rsid w:val="00813532"/>
    <w:rsid w:val="00813B25"/>
    <w:rsid w:val="008157F5"/>
    <w:rsid w:val="00817618"/>
    <w:rsid w:val="008202A1"/>
    <w:rsid w:val="00820EF9"/>
    <w:rsid w:val="00820F45"/>
    <w:rsid w:val="00822CE7"/>
    <w:rsid w:val="00824668"/>
    <w:rsid w:val="00825743"/>
    <w:rsid w:val="0083080D"/>
    <w:rsid w:val="008330B5"/>
    <w:rsid w:val="00833C39"/>
    <w:rsid w:val="0083639E"/>
    <w:rsid w:val="008432DC"/>
    <w:rsid w:val="00844BDD"/>
    <w:rsid w:val="0084506B"/>
    <w:rsid w:val="00847C51"/>
    <w:rsid w:val="00847C81"/>
    <w:rsid w:val="00852188"/>
    <w:rsid w:val="008547CA"/>
    <w:rsid w:val="00855523"/>
    <w:rsid w:val="0085694E"/>
    <w:rsid w:val="00856AD7"/>
    <w:rsid w:val="00857CA3"/>
    <w:rsid w:val="00857E57"/>
    <w:rsid w:val="00861588"/>
    <w:rsid w:val="0086237B"/>
    <w:rsid w:val="00862DEB"/>
    <w:rsid w:val="00865480"/>
    <w:rsid w:val="008671E1"/>
    <w:rsid w:val="008675B0"/>
    <w:rsid w:val="0087047E"/>
    <w:rsid w:val="0087611E"/>
    <w:rsid w:val="0087637D"/>
    <w:rsid w:val="00881FA1"/>
    <w:rsid w:val="0088213C"/>
    <w:rsid w:val="00882633"/>
    <w:rsid w:val="00887F25"/>
    <w:rsid w:val="00895F27"/>
    <w:rsid w:val="008A0B09"/>
    <w:rsid w:val="008A1F2D"/>
    <w:rsid w:val="008A229C"/>
    <w:rsid w:val="008A310B"/>
    <w:rsid w:val="008B01CF"/>
    <w:rsid w:val="008B19FA"/>
    <w:rsid w:val="008B2C2C"/>
    <w:rsid w:val="008B4393"/>
    <w:rsid w:val="008B5ABE"/>
    <w:rsid w:val="008C0AC8"/>
    <w:rsid w:val="008C1DE0"/>
    <w:rsid w:val="008C2BC2"/>
    <w:rsid w:val="008C4C31"/>
    <w:rsid w:val="008C615A"/>
    <w:rsid w:val="008C6D43"/>
    <w:rsid w:val="008D4FC1"/>
    <w:rsid w:val="008D4FC5"/>
    <w:rsid w:val="008D7DE0"/>
    <w:rsid w:val="008E3E6B"/>
    <w:rsid w:val="008E64FF"/>
    <w:rsid w:val="008E6B9E"/>
    <w:rsid w:val="008E776D"/>
    <w:rsid w:val="008E7C03"/>
    <w:rsid w:val="008E7DA1"/>
    <w:rsid w:val="008E7E98"/>
    <w:rsid w:val="008F008B"/>
    <w:rsid w:val="008F0368"/>
    <w:rsid w:val="008F1C1F"/>
    <w:rsid w:val="008F1D17"/>
    <w:rsid w:val="008F257A"/>
    <w:rsid w:val="008F2B8C"/>
    <w:rsid w:val="008F3BE2"/>
    <w:rsid w:val="008F4C3D"/>
    <w:rsid w:val="008F5165"/>
    <w:rsid w:val="008F6C92"/>
    <w:rsid w:val="008F7526"/>
    <w:rsid w:val="00900096"/>
    <w:rsid w:val="00901BD3"/>
    <w:rsid w:val="00907642"/>
    <w:rsid w:val="009100F1"/>
    <w:rsid w:val="0091325F"/>
    <w:rsid w:val="009132D3"/>
    <w:rsid w:val="00915B0F"/>
    <w:rsid w:val="00917A57"/>
    <w:rsid w:val="0092002B"/>
    <w:rsid w:val="009206B4"/>
    <w:rsid w:val="00920BC4"/>
    <w:rsid w:val="00925E21"/>
    <w:rsid w:val="00930B4B"/>
    <w:rsid w:val="0093224D"/>
    <w:rsid w:val="00932766"/>
    <w:rsid w:val="009327A9"/>
    <w:rsid w:val="009331EF"/>
    <w:rsid w:val="00934936"/>
    <w:rsid w:val="009349CB"/>
    <w:rsid w:val="009356E0"/>
    <w:rsid w:val="00936376"/>
    <w:rsid w:val="009408B3"/>
    <w:rsid w:val="0094274F"/>
    <w:rsid w:val="009433E5"/>
    <w:rsid w:val="009438B5"/>
    <w:rsid w:val="00943ABE"/>
    <w:rsid w:val="00950401"/>
    <w:rsid w:val="00950C47"/>
    <w:rsid w:val="00951BF0"/>
    <w:rsid w:val="00951D04"/>
    <w:rsid w:val="00952083"/>
    <w:rsid w:val="009524B9"/>
    <w:rsid w:val="00954185"/>
    <w:rsid w:val="00954BF1"/>
    <w:rsid w:val="00955C52"/>
    <w:rsid w:val="00957322"/>
    <w:rsid w:val="009615EB"/>
    <w:rsid w:val="009628AB"/>
    <w:rsid w:val="00962C1B"/>
    <w:rsid w:val="00963758"/>
    <w:rsid w:val="0096384F"/>
    <w:rsid w:val="00967A0A"/>
    <w:rsid w:val="00970140"/>
    <w:rsid w:val="0097429D"/>
    <w:rsid w:val="0097474C"/>
    <w:rsid w:val="00974B8F"/>
    <w:rsid w:val="00975819"/>
    <w:rsid w:val="00980134"/>
    <w:rsid w:val="009818D2"/>
    <w:rsid w:val="009823EB"/>
    <w:rsid w:val="00982507"/>
    <w:rsid w:val="00982922"/>
    <w:rsid w:val="00982E18"/>
    <w:rsid w:val="00985B51"/>
    <w:rsid w:val="00986732"/>
    <w:rsid w:val="00991436"/>
    <w:rsid w:val="009927EA"/>
    <w:rsid w:val="009934F0"/>
    <w:rsid w:val="009953E2"/>
    <w:rsid w:val="0099544A"/>
    <w:rsid w:val="00996668"/>
    <w:rsid w:val="009A1302"/>
    <w:rsid w:val="009A37B8"/>
    <w:rsid w:val="009A653A"/>
    <w:rsid w:val="009B1AAE"/>
    <w:rsid w:val="009B1D59"/>
    <w:rsid w:val="009B3510"/>
    <w:rsid w:val="009B3A24"/>
    <w:rsid w:val="009B3E15"/>
    <w:rsid w:val="009B55D0"/>
    <w:rsid w:val="009B7D22"/>
    <w:rsid w:val="009C1554"/>
    <w:rsid w:val="009C1FF2"/>
    <w:rsid w:val="009C28E7"/>
    <w:rsid w:val="009C5208"/>
    <w:rsid w:val="009C64D9"/>
    <w:rsid w:val="009C717C"/>
    <w:rsid w:val="009D0BE0"/>
    <w:rsid w:val="009D148B"/>
    <w:rsid w:val="009D2336"/>
    <w:rsid w:val="009D26CE"/>
    <w:rsid w:val="009D285A"/>
    <w:rsid w:val="009D3566"/>
    <w:rsid w:val="009D4AE6"/>
    <w:rsid w:val="009D4CA0"/>
    <w:rsid w:val="009D5C00"/>
    <w:rsid w:val="009E2C93"/>
    <w:rsid w:val="009E3101"/>
    <w:rsid w:val="009E38D5"/>
    <w:rsid w:val="009E44C9"/>
    <w:rsid w:val="009E4F18"/>
    <w:rsid w:val="009E6E22"/>
    <w:rsid w:val="009F0D01"/>
    <w:rsid w:val="009F199E"/>
    <w:rsid w:val="009F436E"/>
    <w:rsid w:val="009F4F1A"/>
    <w:rsid w:val="009F526A"/>
    <w:rsid w:val="00A003C6"/>
    <w:rsid w:val="00A0121B"/>
    <w:rsid w:val="00A01694"/>
    <w:rsid w:val="00A06517"/>
    <w:rsid w:val="00A1035B"/>
    <w:rsid w:val="00A15742"/>
    <w:rsid w:val="00A17E6C"/>
    <w:rsid w:val="00A2010A"/>
    <w:rsid w:val="00A20E19"/>
    <w:rsid w:val="00A243AB"/>
    <w:rsid w:val="00A25FED"/>
    <w:rsid w:val="00A2671B"/>
    <w:rsid w:val="00A314A5"/>
    <w:rsid w:val="00A3260B"/>
    <w:rsid w:val="00A35577"/>
    <w:rsid w:val="00A36383"/>
    <w:rsid w:val="00A377D1"/>
    <w:rsid w:val="00A4082D"/>
    <w:rsid w:val="00A40EA5"/>
    <w:rsid w:val="00A438D8"/>
    <w:rsid w:val="00A442E0"/>
    <w:rsid w:val="00A44857"/>
    <w:rsid w:val="00A45E54"/>
    <w:rsid w:val="00A465DD"/>
    <w:rsid w:val="00A465FD"/>
    <w:rsid w:val="00A47FE1"/>
    <w:rsid w:val="00A501CC"/>
    <w:rsid w:val="00A50F04"/>
    <w:rsid w:val="00A524F3"/>
    <w:rsid w:val="00A527BE"/>
    <w:rsid w:val="00A56DB2"/>
    <w:rsid w:val="00A642CE"/>
    <w:rsid w:val="00A644A9"/>
    <w:rsid w:val="00A70E7B"/>
    <w:rsid w:val="00A744CA"/>
    <w:rsid w:val="00A769A0"/>
    <w:rsid w:val="00A76A8D"/>
    <w:rsid w:val="00A77B80"/>
    <w:rsid w:val="00A8167C"/>
    <w:rsid w:val="00A81695"/>
    <w:rsid w:val="00A82914"/>
    <w:rsid w:val="00A83440"/>
    <w:rsid w:val="00A85FFF"/>
    <w:rsid w:val="00A8714E"/>
    <w:rsid w:val="00A87CFA"/>
    <w:rsid w:val="00A9140E"/>
    <w:rsid w:val="00A926B0"/>
    <w:rsid w:val="00A94CFD"/>
    <w:rsid w:val="00A9615E"/>
    <w:rsid w:val="00A961CB"/>
    <w:rsid w:val="00A96298"/>
    <w:rsid w:val="00A97048"/>
    <w:rsid w:val="00AA1411"/>
    <w:rsid w:val="00AA1FF5"/>
    <w:rsid w:val="00AA2B0E"/>
    <w:rsid w:val="00AA6FD3"/>
    <w:rsid w:val="00AA72EB"/>
    <w:rsid w:val="00AB05C3"/>
    <w:rsid w:val="00AB2566"/>
    <w:rsid w:val="00AB35C7"/>
    <w:rsid w:val="00AB7A94"/>
    <w:rsid w:val="00AC096C"/>
    <w:rsid w:val="00AC449B"/>
    <w:rsid w:val="00AC537F"/>
    <w:rsid w:val="00AC7AD6"/>
    <w:rsid w:val="00AD0503"/>
    <w:rsid w:val="00AD0E06"/>
    <w:rsid w:val="00AD22B0"/>
    <w:rsid w:val="00AD2759"/>
    <w:rsid w:val="00AD5127"/>
    <w:rsid w:val="00AD5DA3"/>
    <w:rsid w:val="00AD7937"/>
    <w:rsid w:val="00AE229C"/>
    <w:rsid w:val="00AE51C7"/>
    <w:rsid w:val="00AE633B"/>
    <w:rsid w:val="00AE6AF7"/>
    <w:rsid w:val="00AF0775"/>
    <w:rsid w:val="00AF69F0"/>
    <w:rsid w:val="00AF6F1A"/>
    <w:rsid w:val="00B00D47"/>
    <w:rsid w:val="00B03050"/>
    <w:rsid w:val="00B03C0B"/>
    <w:rsid w:val="00B0428B"/>
    <w:rsid w:val="00B07D54"/>
    <w:rsid w:val="00B103D6"/>
    <w:rsid w:val="00B14B9F"/>
    <w:rsid w:val="00B16756"/>
    <w:rsid w:val="00B21EFD"/>
    <w:rsid w:val="00B240F5"/>
    <w:rsid w:val="00B25F4D"/>
    <w:rsid w:val="00B277EB"/>
    <w:rsid w:val="00B3008E"/>
    <w:rsid w:val="00B33BF3"/>
    <w:rsid w:val="00B347FE"/>
    <w:rsid w:val="00B34D7E"/>
    <w:rsid w:val="00B4313E"/>
    <w:rsid w:val="00B43707"/>
    <w:rsid w:val="00B44F50"/>
    <w:rsid w:val="00B45571"/>
    <w:rsid w:val="00B46332"/>
    <w:rsid w:val="00B46EF5"/>
    <w:rsid w:val="00B47142"/>
    <w:rsid w:val="00B476D9"/>
    <w:rsid w:val="00B51103"/>
    <w:rsid w:val="00B51CBC"/>
    <w:rsid w:val="00B54322"/>
    <w:rsid w:val="00B55B75"/>
    <w:rsid w:val="00B56A1A"/>
    <w:rsid w:val="00B56D8D"/>
    <w:rsid w:val="00B56ED1"/>
    <w:rsid w:val="00B5766F"/>
    <w:rsid w:val="00B57EA2"/>
    <w:rsid w:val="00B60D39"/>
    <w:rsid w:val="00B619BF"/>
    <w:rsid w:val="00B62655"/>
    <w:rsid w:val="00B633F2"/>
    <w:rsid w:val="00B653F8"/>
    <w:rsid w:val="00B720F6"/>
    <w:rsid w:val="00B75812"/>
    <w:rsid w:val="00B80273"/>
    <w:rsid w:val="00B8047D"/>
    <w:rsid w:val="00B8128A"/>
    <w:rsid w:val="00B81DD2"/>
    <w:rsid w:val="00B8316F"/>
    <w:rsid w:val="00B8426B"/>
    <w:rsid w:val="00B85D91"/>
    <w:rsid w:val="00B85DC3"/>
    <w:rsid w:val="00B86CAF"/>
    <w:rsid w:val="00B87698"/>
    <w:rsid w:val="00B909E5"/>
    <w:rsid w:val="00B92422"/>
    <w:rsid w:val="00B97176"/>
    <w:rsid w:val="00B97CCF"/>
    <w:rsid w:val="00BA06AE"/>
    <w:rsid w:val="00BA19EA"/>
    <w:rsid w:val="00BA1E14"/>
    <w:rsid w:val="00BA268D"/>
    <w:rsid w:val="00BA4518"/>
    <w:rsid w:val="00BA45FE"/>
    <w:rsid w:val="00BA49A0"/>
    <w:rsid w:val="00BB0832"/>
    <w:rsid w:val="00BB085C"/>
    <w:rsid w:val="00BB183C"/>
    <w:rsid w:val="00BB2C63"/>
    <w:rsid w:val="00BB33B4"/>
    <w:rsid w:val="00BB4546"/>
    <w:rsid w:val="00BB511A"/>
    <w:rsid w:val="00BB6A73"/>
    <w:rsid w:val="00BB6B1A"/>
    <w:rsid w:val="00BB6E8B"/>
    <w:rsid w:val="00BB7EE5"/>
    <w:rsid w:val="00BC12D2"/>
    <w:rsid w:val="00BC4684"/>
    <w:rsid w:val="00BD1B3F"/>
    <w:rsid w:val="00BD32A1"/>
    <w:rsid w:val="00BD420B"/>
    <w:rsid w:val="00BD62E9"/>
    <w:rsid w:val="00BD6880"/>
    <w:rsid w:val="00BE218D"/>
    <w:rsid w:val="00BE2602"/>
    <w:rsid w:val="00BE357C"/>
    <w:rsid w:val="00BE5B97"/>
    <w:rsid w:val="00BE7F58"/>
    <w:rsid w:val="00BF19A9"/>
    <w:rsid w:val="00BF1CEB"/>
    <w:rsid w:val="00BF4342"/>
    <w:rsid w:val="00BF55B1"/>
    <w:rsid w:val="00C01355"/>
    <w:rsid w:val="00C01837"/>
    <w:rsid w:val="00C02CB4"/>
    <w:rsid w:val="00C0560F"/>
    <w:rsid w:val="00C0563D"/>
    <w:rsid w:val="00C06BD5"/>
    <w:rsid w:val="00C07BC1"/>
    <w:rsid w:val="00C10811"/>
    <w:rsid w:val="00C122AF"/>
    <w:rsid w:val="00C13A2F"/>
    <w:rsid w:val="00C15BE3"/>
    <w:rsid w:val="00C32C12"/>
    <w:rsid w:val="00C34465"/>
    <w:rsid w:val="00C34D82"/>
    <w:rsid w:val="00C35B93"/>
    <w:rsid w:val="00C37398"/>
    <w:rsid w:val="00C37B95"/>
    <w:rsid w:val="00C40C51"/>
    <w:rsid w:val="00C41CA6"/>
    <w:rsid w:val="00C43D80"/>
    <w:rsid w:val="00C44F42"/>
    <w:rsid w:val="00C45E10"/>
    <w:rsid w:val="00C465B8"/>
    <w:rsid w:val="00C50134"/>
    <w:rsid w:val="00C5098B"/>
    <w:rsid w:val="00C523AB"/>
    <w:rsid w:val="00C5580E"/>
    <w:rsid w:val="00C57FF7"/>
    <w:rsid w:val="00C61D8C"/>
    <w:rsid w:val="00C63A2F"/>
    <w:rsid w:val="00C66346"/>
    <w:rsid w:val="00C66662"/>
    <w:rsid w:val="00C667F9"/>
    <w:rsid w:val="00C74F66"/>
    <w:rsid w:val="00C76741"/>
    <w:rsid w:val="00C776FB"/>
    <w:rsid w:val="00C804A7"/>
    <w:rsid w:val="00C812EC"/>
    <w:rsid w:val="00C84243"/>
    <w:rsid w:val="00C84642"/>
    <w:rsid w:val="00C85870"/>
    <w:rsid w:val="00C8590E"/>
    <w:rsid w:val="00C85C41"/>
    <w:rsid w:val="00C87137"/>
    <w:rsid w:val="00C96E66"/>
    <w:rsid w:val="00C9775E"/>
    <w:rsid w:val="00C97EB4"/>
    <w:rsid w:val="00CA0342"/>
    <w:rsid w:val="00CA1ED2"/>
    <w:rsid w:val="00CA2E95"/>
    <w:rsid w:val="00CA434C"/>
    <w:rsid w:val="00CA5E79"/>
    <w:rsid w:val="00CA5F81"/>
    <w:rsid w:val="00CB11F2"/>
    <w:rsid w:val="00CB3A73"/>
    <w:rsid w:val="00CB3AF4"/>
    <w:rsid w:val="00CB60B1"/>
    <w:rsid w:val="00CB6721"/>
    <w:rsid w:val="00CB6722"/>
    <w:rsid w:val="00CB7636"/>
    <w:rsid w:val="00CC094F"/>
    <w:rsid w:val="00CC0AB7"/>
    <w:rsid w:val="00CC1E2D"/>
    <w:rsid w:val="00CC3D16"/>
    <w:rsid w:val="00CC417F"/>
    <w:rsid w:val="00CC4F86"/>
    <w:rsid w:val="00CC5140"/>
    <w:rsid w:val="00CC564A"/>
    <w:rsid w:val="00CC75DA"/>
    <w:rsid w:val="00CC7694"/>
    <w:rsid w:val="00CD0071"/>
    <w:rsid w:val="00CD10A9"/>
    <w:rsid w:val="00CD2B4B"/>
    <w:rsid w:val="00CD311F"/>
    <w:rsid w:val="00CD5948"/>
    <w:rsid w:val="00CD7DB3"/>
    <w:rsid w:val="00CE3ACB"/>
    <w:rsid w:val="00CE3D2C"/>
    <w:rsid w:val="00CE4ECC"/>
    <w:rsid w:val="00CE6194"/>
    <w:rsid w:val="00CF029E"/>
    <w:rsid w:val="00CF0BE3"/>
    <w:rsid w:val="00CF3875"/>
    <w:rsid w:val="00CF3C2B"/>
    <w:rsid w:val="00CF3D70"/>
    <w:rsid w:val="00CF40C4"/>
    <w:rsid w:val="00CF434B"/>
    <w:rsid w:val="00CF5509"/>
    <w:rsid w:val="00CF6261"/>
    <w:rsid w:val="00CF6793"/>
    <w:rsid w:val="00D0022A"/>
    <w:rsid w:val="00D00D79"/>
    <w:rsid w:val="00D01C38"/>
    <w:rsid w:val="00D02DB7"/>
    <w:rsid w:val="00D038C1"/>
    <w:rsid w:val="00D05FDB"/>
    <w:rsid w:val="00D13848"/>
    <w:rsid w:val="00D162B7"/>
    <w:rsid w:val="00D16AA4"/>
    <w:rsid w:val="00D175A4"/>
    <w:rsid w:val="00D17D55"/>
    <w:rsid w:val="00D23FC0"/>
    <w:rsid w:val="00D2440E"/>
    <w:rsid w:val="00D260C5"/>
    <w:rsid w:val="00D260FB"/>
    <w:rsid w:val="00D27B3E"/>
    <w:rsid w:val="00D30031"/>
    <w:rsid w:val="00D30C68"/>
    <w:rsid w:val="00D33332"/>
    <w:rsid w:val="00D35C53"/>
    <w:rsid w:val="00D37FC5"/>
    <w:rsid w:val="00D40A8F"/>
    <w:rsid w:val="00D415DA"/>
    <w:rsid w:val="00D42DF3"/>
    <w:rsid w:val="00D44F1F"/>
    <w:rsid w:val="00D45A3F"/>
    <w:rsid w:val="00D47737"/>
    <w:rsid w:val="00D50DD2"/>
    <w:rsid w:val="00D516D4"/>
    <w:rsid w:val="00D518B4"/>
    <w:rsid w:val="00D51BE5"/>
    <w:rsid w:val="00D56DC9"/>
    <w:rsid w:val="00D60480"/>
    <w:rsid w:val="00D60EDF"/>
    <w:rsid w:val="00D62ECD"/>
    <w:rsid w:val="00D63006"/>
    <w:rsid w:val="00D640BB"/>
    <w:rsid w:val="00D641EB"/>
    <w:rsid w:val="00D647E8"/>
    <w:rsid w:val="00D66F3E"/>
    <w:rsid w:val="00D67924"/>
    <w:rsid w:val="00D71F68"/>
    <w:rsid w:val="00D73AD2"/>
    <w:rsid w:val="00D73B08"/>
    <w:rsid w:val="00D74622"/>
    <w:rsid w:val="00D74681"/>
    <w:rsid w:val="00D81754"/>
    <w:rsid w:val="00D83969"/>
    <w:rsid w:val="00D847BF"/>
    <w:rsid w:val="00D90C81"/>
    <w:rsid w:val="00D9247E"/>
    <w:rsid w:val="00D9434A"/>
    <w:rsid w:val="00D97001"/>
    <w:rsid w:val="00D97D7F"/>
    <w:rsid w:val="00DA1D84"/>
    <w:rsid w:val="00DA23EB"/>
    <w:rsid w:val="00DA2CAD"/>
    <w:rsid w:val="00DA350A"/>
    <w:rsid w:val="00DA3A6F"/>
    <w:rsid w:val="00DA4932"/>
    <w:rsid w:val="00DA6148"/>
    <w:rsid w:val="00DA6C79"/>
    <w:rsid w:val="00DA7CC3"/>
    <w:rsid w:val="00DB0293"/>
    <w:rsid w:val="00DB06E3"/>
    <w:rsid w:val="00DB3312"/>
    <w:rsid w:val="00DC59B9"/>
    <w:rsid w:val="00DC5D78"/>
    <w:rsid w:val="00DC620C"/>
    <w:rsid w:val="00DC7999"/>
    <w:rsid w:val="00DC7F4F"/>
    <w:rsid w:val="00DD2F95"/>
    <w:rsid w:val="00DD6B2F"/>
    <w:rsid w:val="00DE280D"/>
    <w:rsid w:val="00DE4A50"/>
    <w:rsid w:val="00DE4C20"/>
    <w:rsid w:val="00DE7435"/>
    <w:rsid w:val="00DF24EE"/>
    <w:rsid w:val="00DF2C68"/>
    <w:rsid w:val="00DF54D7"/>
    <w:rsid w:val="00DF5AA2"/>
    <w:rsid w:val="00DF6767"/>
    <w:rsid w:val="00DF7173"/>
    <w:rsid w:val="00DF773F"/>
    <w:rsid w:val="00E00D11"/>
    <w:rsid w:val="00E01000"/>
    <w:rsid w:val="00E03E51"/>
    <w:rsid w:val="00E0512A"/>
    <w:rsid w:val="00E0543E"/>
    <w:rsid w:val="00E1112A"/>
    <w:rsid w:val="00E11412"/>
    <w:rsid w:val="00E13BC7"/>
    <w:rsid w:val="00E1590F"/>
    <w:rsid w:val="00E20235"/>
    <w:rsid w:val="00E20575"/>
    <w:rsid w:val="00E21D48"/>
    <w:rsid w:val="00E23317"/>
    <w:rsid w:val="00E23BD2"/>
    <w:rsid w:val="00E24C48"/>
    <w:rsid w:val="00E2619A"/>
    <w:rsid w:val="00E27767"/>
    <w:rsid w:val="00E31524"/>
    <w:rsid w:val="00E35548"/>
    <w:rsid w:val="00E3564B"/>
    <w:rsid w:val="00E35DA5"/>
    <w:rsid w:val="00E3701F"/>
    <w:rsid w:val="00E405FA"/>
    <w:rsid w:val="00E4077E"/>
    <w:rsid w:val="00E40882"/>
    <w:rsid w:val="00E41280"/>
    <w:rsid w:val="00E427F9"/>
    <w:rsid w:val="00E430AB"/>
    <w:rsid w:val="00E50F02"/>
    <w:rsid w:val="00E513D4"/>
    <w:rsid w:val="00E55140"/>
    <w:rsid w:val="00E56B82"/>
    <w:rsid w:val="00E605C2"/>
    <w:rsid w:val="00E62495"/>
    <w:rsid w:val="00E6274F"/>
    <w:rsid w:val="00E66B65"/>
    <w:rsid w:val="00E66D9F"/>
    <w:rsid w:val="00E703D2"/>
    <w:rsid w:val="00E70B81"/>
    <w:rsid w:val="00E71889"/>
    <w:rsid w:val="00E71E5F"/>
    <w:rsid w:val="00E728B6"/>
    <w:rsid w:val="00E74BBB"/>
    <w:rsid w:val="00E7639D"/>
    <w:rsid w:val="00E82E5C"/>
    <w:rsid w:val="00E830F2"/>
    <w:rsid w:val="00E85012"/>
    <w:rsid w:val="00E85D0D"/>
    <w:rsid w:val="00E86E1D"/>
    <w:rsid w:val="00E86F74"/>
    <w:rsid w:val="00E8761C"/>
    <w:rsid w:val="00E87BE3"/>
    <w:rsid w:val="00E87CE7"/>
    <w:rsid w:val="00E91852"/>
    <w:rsid w:val="00E9231D"/>
    <w:rsid w:val="00E93AE3"/>
    <w:rsid w:val="00E95F4F"/>
    <w:rsid w:val="00EA0DD4"/>
    <w:rsid w:val="00EA1CD5"/>
    <w:rsid w:val="00EA2000"/>
    <w:rsid w:val="00EA7817"/>
    <w:rsid w:val="00EB0AE0"/>
    <w:rsid w:val="00EB1B07"/>
    <w:rsid w:val="00EB1E68"/>
    <w:rsid w:val="00EB469F"/>
    <w:rsid w:val="00EB4D87"/>
    <w:rsid w:val="00EB5D79"/>
    <w:rsid w:val="00EB60A3"/>
    <w:rsid w:val="00EC3622"/>
    <w:rsid w:val="00EC3A8B"/>
    <w:rsid w:val="00EC7021"/>
    <w:rsid w:val="00ED10FC"/>
    <w:rsid w:val="00ED3AAC"/>
    <w:rsid w:val="00ED61EF"/>
    <w:rsid w:val="00ED6254"/>
    <w:rsid w:val="00ED7DB9"/>
    <w:rsid w:val="00EE12A2"/>
    <w:rsid w:val="00EE3161"/>
    <w:rsid w:val="00EE36DF"/>
    <w:rsid w:val="00EE4A67"/>
    <w:rsid w:val="00EE4D7D"/>
    <w:rsid w:val="00EE771F"/>
    <w:rsid w:val="00EF3638"/>
    <w:rsid w:val="00EF3E9C"/>
    <w:rsid w:val="00EF5083"/>
    <w:rsid w:val="00EF7E79"/>
    <w:rsid w:val="00F0068C"/>
    <w:rsid w:val="00F022A9"/>
    <w:rsid w:val="00F03A16"/>
    <w:rsid w:val="00F05756"/>
    <w:rsid w:val="00F05AB7"/>
    <w:rsid w:val="00F0600C"/>
    <w:rsid w:val="00F07F28"/>
    <w:rsid w:val="00F106D1"/>
    <w:rsid w:val="00F12769"/>
    <w:rsid w:val="00F13F1B"/>
    <w:rsid w:val="00F14118"/>
    <w:rsid w:val="00F14556"/>
    <w:rsid w:val="00F14983"/>
    <w:rsid w:val="00F14D2C"/>
    <w:rsid w:val="00F20200"/>
    <w:rsid w:val="00F20C49"/>
    <w:rsid w:val="00F20DFB"/>
    <w:rsid w:val="00F25D9B"/>
    <w:rsid w:val="00F30439"/>
    <w:rsid w:val="00F31172"/>
    <w:rsid w:val="00F31622"/>
    <w:rsid w:val="00F32361"/>
    <w:rsid w:val="00F33C29"/>
    <w:rsid w:val="00F361E1"/>
    <w:rsid w:val="00F371AE"/>
    <w:rsid w:val="00F37252"/>
    <w:rsid w:val="00F37278"/>
    <w:rsid w:val="00F431BF"/>
    <w:rsid w:val="00F458E9"/>
    <w:rsid w:val="00F46B7B"/>
    <w:rsid w:val="00F47B37"/>
    <w:rsid w:val="00F508FC"/>
    <w:rsid w:val="00F524B3"/>
    <w:rsid w:val="00F53851"/>
    <w:rsid w:val="00F53A16"/>
    <w:rsid w:val="00F55891"/>
    <w:rsid w:val="00F55CD2"/>
    <w:rsid w:val="00F56FEC"/>
    <w:rsid w:val="00F578D0"/>
    <w:rsid w:val="00F57C33"/>
    <w:rsid w:val="00F61AA2"/>
    <w:rsid w:val="00F62E6C"/>
    <w:rsid w:val="00F64930"/>
    <w:rsid w:val="00F64C0B"/>
    <w:rsid w:val="00F654F1"/>
    <w:rsid w:val="00F66215"/>
    <w:rsid w:val="00F6711A"/>
    <w:rsid w:val="00F679AB"/>
    <w:rsid w:val="00F71135"/>
    <w:rsid w:val="00F713CC"/>
    <w:rsid w:val="00F741AB"/>
    <w:rsid w:val="00F748EE"/>
    <w:rsid w:val="00F75BC3"/>
    <w:rsid w:val="00F7788C"/>
    <w:rsid w:val="00F77CF0"/>
    <w:rsid w:val="00F812CB"/>
    <w:rsid w:val="00F81946"/>
    <w:rsid w:val="00F82128"/>
    <w:rsid w:val="00F828E9"/>
    <w:rsid w:val="00F83B31"/>
    <w:rsid w:val="00F87504"/>
    <w:rsid w:val="00F90929"/>
    <w:rsid w:val="00F90AE6"/>
    <w:rsid w:val="00F91DD5"/>
    <w:rsid w:val="00F92D9F"/>
    <w:rsid w:val="00F93C80"/>
    <w:rsid w:val="00F96EAF"/>
    <w:rsid w:val="00F97903"/>
    <w:rsid w:val="00F97A1B"/>
    <w:rsid w:val="00F97ADD"/>
    <w:rsid w:val="00FA0974"/>
    <w:rsid w:val="00FA09DF"/>
    <w:rsid w:val="00FA19CE"/>
    <w:rsid w:val="00FA2709"/>
    <w:rsid w:val="00FA2910"/>
    <w:rsid w:val="00FA351E"/>
    <w:rsid w:val="00FA494E"/>
    <w:rsid w:val="00FA537B"/>
    <w:rsid w:val="00FA575C"/>
    <w:rsid w:val="00FA7A28"/>
    <w:rsid w:val="00FB163B"/>
    <w:rsid w:val="00FB1D66"/>
    <w:rsid w:val="00FB7156"/>
    <w:rsid w:val="00FB78A5"/>
    <w:rsid w:val="00FC032A"/>
    <w:rsid w:val="00FC125F"/>
    <w:rsid w:val="00FC2193"/>
    <w:rsid w:val="00FC3672"/>
    <w:rsid w:val="00FC39D1"/>
    <w:rsid w:val="00FC3E54"/>
    <w:rsid w:val="00FC41E8"/>
    <w:rsid w:val="00FC4864"/>
    <w:rsid w:val="00FC5B34"/>
    <w:rsid w:val="00FC6DD7"/>
    <w:rsid w:val="00FC7192"/>
    <w:rsid w:val="00FD5994"/>
    <w:rsid w:val="00FD5CFF"/>
    <w:rsid w:val="00FD5E9E"/>
    <w:rsid w:val="00FD630D"/>
    <w:rsid w:val="00FD6685"/>
    <w:rsid w:val="00FD6C9D"/>
    <w:rsid w:val="00FE0099"/>
    <w:rsid w:val="00FE04DF"/>
    <w:rsid w:val="00FE1F3E"/>
    <w:rsid w:val="00FE1F9F"/>
    <w:rsid w:val="00FE5779"/>
    <w:rsid w:val="00FE5EE9"/>
    <w:rsid w:val="00FE6139"/>
    <w:rsid w:val="00FF0804"/>
    <w:rsid w:val="00FF424D"/>
    <w:rsid w:val="00FF4717"/>
    <w:rsid w:val="00FF55CC"/>
    <w:rsid w:val="00FF65A1"/>
    <w:rsid w:val="00FF725E"/>
    <w:rsid w:val="05177B85"/>
    <w:rsid w:val="0780419C"/>
    <w:rsid w:val="09B70AF9"/>
    <w:rsid w:val="0ABD6309"/>
    <w:rsid w:val="0B7B32D3"/>
    <w:rsid w:val="0B960C6B"/>
    <w:rsid w:val="0CBF432E"/>
    <w:rsid w:val="18681A3F"/>
    <w:rsid w:val="18BC4854"/>
    <w:rsid w:val="19DB7318"/>
    <w:rsid w:val="19EA2F53"/>
    <w:rsid w:val="1C277695"/>
    <w:rsid w:val="1E0068A1"/>
    <w:rsid w:val="1EE75CB3"/>
    <w:rsid w:val="202458D6"/>
    <w:rsid w:val="23E024EB"/>
    <w:rsid w:val="24F72859"/>
    <w:rsid w:val="25A11E83"/>
    <w:rsid w:val="29715F40"/>
    <w:rsid w:val="2987256D"/>
    <w:rsid w:val="2BFC02D1"/>
    <w:rsid w:val="30511ECC"/>
    <w:rsid w:val="31FD2C13"/>
    <w:rsid w:val="341A2BD3"/>
    <w:rsid w:val="35190FDF"/>
    <w:rsid w:val="359A6091"/>
    <w:rsid w:val="35CE77ED"/>
    <w:rsid w:val="3C530294"/>
    <w:rsid w:val="3D406244"/>
    <w:rsid w:val="4377102D"/>
    <w:rsid w:val="46A54581"/>
    <w:rsid w:val="4B5936AA"/>
    <w:rsid w:val="4EF10958"/>
    <w:rsid w:val="546D1AA0"/>
    <w:rsid w:val="55D04E64"/>
    <w:rsid w:val="575574CA"/>
    <w:rsid w:val="5A3A490E"/>
    <w:rsid w:val="5F720E3E"/>
    <w:rsid w:val="62B17A4F"/>
    <w:rsid w:val="64CC6EEA"/>
    <w:rsid w:val="66BF044B"/>
    <w:rsid w:val="66F95C5B"/>
    <w:rsid w:val="6979717C"/>
    <w:rsid w:val="69A50E62"/>
    <w:rsid w:val="6D602E88"/>
    <w:rsid w:val="711A197B"/>
    <w:rsid w:val="714E2539"/>
    <w:rsid w:val="72792D63"/>
    <w:rsid w:val="73257E81"/>
    <w:rsid w:val="737674C6"/>
    <w:rsid w:val="76851400"/>
    <w:rsid w:val="7EBC5755"/>
    <w:rsid w:val="7F744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qFormat="1" w:unhideWhenUsed="0" w:uiPriority="0" w:semiHidden="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0"/>
    <w:qFormat/>
    <w:uiPriority w:val="0"/>
    <w:pPr>
      <w:keepNext/>
      <w:keepLines/>
      <w:spacing w:before="120" w:after="120"/>
      <w:outlineLvl w:val="1"/>
    </w:pPr>
    <w:rPr>
      <w:rFonts w:ascii="Arial" w:hAnsi="Arial" w:eastAsia="黑体"/>
      <w:b/>
      <w:color w:val="000000"/>
      <w:sz w:val="28"/>
      <w:szCs w:val="20"/>
    </w:rPr>
  </w:style>
  <w:style w:type="paragraph" w:styleId="5">
    <w:name w:val="heading 3"/>
    <w:basedOn w:val="1"/>
    <w:next w:val="4"/>
    <w:qFormat/>
    <w:uiPriority w:val="0"/>
    <w:pPr>
      <w:keepNext/>
      <w:keepLines/>
      <w:spacing w:before="120" w:after="120"/>
      <w:outlineLvl w:val="2"/>
    </w:pPr>
    <w:rPr>
      <w:rFonts w:eastAsia="楷体_GB2312"/>
      <w:b/>
      <w:color w:val="000000"/>
      <w:sz w:val="24"/>
      <w:szCs w:val="20"/>
    </w:rPr>
  </w:style>
  <w:style w:type="paragraph" w:styleId="6">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楷体_GB2312" w:hAnsi="Arial" w:eastAsia="楷体_GB2312"/>
      <w:b/>
      <w:sz w:val="28"/>
      <w:szCs w:val="20"/>
    </w:rPr>
  </w:style>
  <w:style w:type="paragraph" w:styleId="7">
    <w:name w:val="heading 5"/>
    <w:basedOn w:val="1"/>
    <w:next w:val="4"/>
    <w:qFormat/>
    <w:uiPriority w:val="0"/>
    <w:pPr>
      <w:keepNext/>
      <w:keepLines/>
      <w:numPr>
        <w:ilvl w:val="4"/>
        <w:numId w:val="1"/>
      </w:numPr>
      <w:spacing w:before="280" w:after="290" w:line="376" w:lineRule="auto"/>
      <w:outlineLvl w:val="4"/>
    </w:pPr>
    <w:rPr>
      <w:rFonts w:eastAsia="楷体_GB2312"/>
      <w:b/>
      <w:sz w:val="24"/>
      <w:szCs w:val="20"/>
    </w:rPr>
  </w:style>
  <w:style w:type="paragraph" w:styleId="8">
    <w:name w:val="heading 6"/>
    <w:basedOn w:val="1"/>
    <w:next w:val="4"/>
    <w:qFormat/>
    <w:uiPriority w:val="0"/>
    <w:pPr>
      <w:keepNext/>
      <w:keepLines/>
      <w:numPr>
        <w:ilvl w:val="5"/>
        <w:numId w:val="1"/>
      </w:numPr>
      <w:spacing w:before="240" w:after="64" w:line="320" w:lineRule="auto"/>
      <w:outlineLvl w:val="5"/>
    </w:pPr>
    <w:rPr>
      <w:rFonts w:ascii="Arial" w:hAnsi="Arial" w:eastAsia="楷体_GB2312"/>
      <w:b/>
      <w:szCs w:val="20"/>
    </w:rPr>
  </w:style>
  <w:style w:type="paragraph" w:styleId="9">
    <w:name w:val="heading 7"/>
    <w:basedOn w:val="1"/>
    <w:next w:val="4"/>
    <w:qFormat/>
    <w:uiPriority w:val="0"/>
    <w:pPr>
      <w:keepNext/>
      <w:keepLines/>
      <w:numPr>
        <w:ilvl w:val="6"/>
        <w:numId w:val="1"/>
      </w:numPr>
      <w:spacing w:before="240" w:after="64" w:line="320" w:lineRule="auto"/>
      <w:outlineLvl w:val="6"/>
    </w:pPr>
    <w:rPr>
      <w:b/>
      <w:sz w:val="24"/>
      <w:szCs w:val="20"/>
    </w:rPr>
  </w:style>
  <w:style w:type="paragraph" w:styleId="10">
    <w:name w:val="heading 8"/>
    <w:basedOn w:val="1"/>
    <w:next w:val="4"/>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1">
    <w:name w:val="heading 9"/>
    <w:basedOn w:val="1"/>
    <w:next w:val="4"/>
    <w:qFormat/>
    <w:uiPriority w:val="0"/>
    <w:pPr>
      <w:keepNext/>
      <w:keepLines/>
      <w:numPr>
        <w:ilvl w:val="8"/>
        <w:numId w:val="1"/>
      </w:numPr>
      <w:spacing w:before="240" w:after="64" w:line="320" w:lineRule="auto"/>
      <w:outlineLvl w:val="8"/>
    </w:pPr>
    <w:rPr>
      <w:rFonts w:ascii="Arial" w:hAnsi="Arial" w:eastAsia="黑体"/>
      <w:sz w:val="24"/>
      <w:szCs w:val="2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4"/>
    <w:qFormat/>
    <w:uiPriority w:val="0"/>
    <w:pPr>
      <w:ind w:firstLine="420"/>
    </w:pPr>
    <w:rPr>
      <w:sz w:val="24"/>
      <w:szCs w:val="20"/>
    </w:rPr>
  </w:style>
  <w:style w:type="paragraph" w:styleId="12">
    <w:name w:val="Document Map"/>
    <w:basedOn w:val="1"/>
    <w:autoRedefine/>
    <w:semiHidden/>
    <w:qFormat/>
    <w:uiPriority w:val="0"/>
    <w:pPr>
      <w:shd w:val="clear" w:color="auto" w:fill="000080"/>
    </w:pPr>
  </w:style>
  <w:style w:type="paragraph" w:styleId="13">
    <w:name w:val="annotation text"/>
    <w:basedOn w:val="1"/>
    <w:semiHidden/>
    <w:unhideWhenUsed/>
    <w:qFormat/>
    <w:uiPriority w:val="0"/>
    <w:pPr>
      <w:jc w:val="left"/>
    </w:pPr>
  </w:style>
  <w:style w:type="paragraph" w:styleId="14">
    <w:name w:val="Body Text"/>
    <w:basedOn w:val="1"/>
    <w:link w:val="42"/>
    <w:autoRedefine/>
    <w:qFormat/>
    <w:uiPriority w:val="0"/>
    <w:pPr>
      <w:spacing w:after="120"/>
    </w:pPr>
    <w:rPr>
      <w:lang w:val="zh-CN"/>
    </w:rPr>
  </w:style>
  <w:style w:type="paragraph" w:styleId="15">
    <w:name w:val="Body Text Indent"/>
    <w:basedOn w:val="1"/>
    <w:autoRedefine/>
    <w:qFormat/>
    <w:uiPriority w:val="0"/>
    <w:pPr>
      <w:ind w:firstLine="420"/>
    </w:pPr>
    <w:rPr>
      <w:rFonts w:ascii="宋体"/>
    </w:rPr>
  </w:style>
  <w:style w:type="paragraph" w:styleId="16">
    <w:name w:val="toc 3"/>
    <w:basedOn w:val="1"/>
    <w:next w:val="1"/>
    <w:autoRedefine/>
    <w:qFormat/>
    <w:uiPriority w:val="39"/>
    <w:pPr>
      <w:ind w:left="420"/>
      <w:jc w:val="left"/>
    </w:pPr>
    <w:rPr>
      <w:iCs/>
      <w:sz w:val="20"/>
      <w:szCs w:val="20"/>
    </w:rPr>
  </w:style>
  <w:style w:type="paragraph" w:styleId="17">
    <w:name w:val="Date"/>
    <w:basedOn w:val="1"/>
    <w:next w:val="1"/>
    <w:autoRedefine/>
    <w:qFormat/>
    <w:uiPriority w:val="0"/>
    <w:pPr>
      <w:adjustRightInd w:val="0"/>
      <w:spacing w:line="312" w:lineRule="atLeast"/>
      <w:jc w:val="right"/>
      <w:textAlignment w:val="baseline"/>
    </w:pPr>
    <w:rPr>
      <w:sz w:val="32"/>
      <w:szCs w:val="20"/>
    </w:rPr>
  </w:style>
  <w:style w:type="paragraph" w:styleId="18">
    <w:name w:val="footer"/>
    <w:basedOn w:val="1"/>
    <w:link w:val="52"/>
    <w:autoRedefine/>
    <w:qFormat/>
    <w:uiPriority w:val="0"/>
    <w:pPr>
      <w:tabs>
        <w:tab w:val="center" w:pos="4153"/>
        <w:tab w:val="right" w:pos="8306"/>
      </w:tabs>
      <w:snapToGrid w:val="0"/>
      <w:jc w:val="left"/>
    </w:pPr>
    <w:rPr>
      <w:sz w:val="18"/>
      <w:szCs w:val="20"/>
    </w:rPr>
  </w:style>
  <w:style w:type="paragraph" w:styleId="19">
    <w:name w:val="envelope return"/>
    <w:basedOn w:val="1"/>
    <w:qFormat/>
    <w:uiPriority w:val="0"/>
    <w:pPr>
      <w:snapToGrid w:val="0"/>
    </w:pPr>
    <w:rPr>
      <w:rFonts w:ascii="Arial" w:hAnsi="Arial"/>
    </w:rPr>
  </w:style>
  <w:style w:type="paragraph" w:styleId="20">
    <w:name w:val="header"/>
    <w:basedOn w:val="1"/>
    <w:autoRedefine/>
    <w:qFormat/>
    <w:uiPriority w:val="0"/>
    <w:pPr>
      <w:pBdr>
        <w:bottom w:val="single" w:color="auto" w:sz="6" w:space="1"/>
      </w:pBdr>
      <w:tabs>
        <w:tab w:val="center" w:pos="4153"/>
        <w:tab w:val="right" w:pos="8306"/>
      </w:tabs>
      <w:snapToGrid w:val="0"/>
      <w:jc w:val="center"/>
    </w:pPr>
    <w:rPr>
      <w:sz w:val="18"/>
      <w:szCs w:val="20"/>
    </w:rPr>
  </w:style>
  <w:style w:type="paragraph" w:styleId="21">
    <w:name w:val="toc 1"/>
    <w:basedOn w:val="1"/>
    <w:next w:val="1"/>
    <w:autoRedefine/>
    <w:qFormat/>
    <w:uiPriority w:val="39"/>
    <w:pPr>
      <w:tabs>
        <w:tab w:val="right" w:leader="dot" w:pos="8302"/>
      </w:tabs>
      <w:spacing w:before="120" w:after="120"/>
      <w:jc w:val="left"/>
    </w:pPr>
    <w:rPr>
      <w:b/>
      <w:bCs/>
      <w:caps/>
      <w:sz w:val="20"/>
      <w:szCs w:val="20"/>
    </w:rPr>
  </w:style>
  <w:style w:type="paragraph" w:styleId="22">
    <w:name w:val="footnote text"/>
    <w:basedOn w:val="1"/>
    <w:link w:val="47"/>
    <w:autoRedefine/>
    <w:qFormat/>
    <w:uiPriority w:val="0"/>
    <w:pPr>
      <w:snapToGrid w:val="0"/>
      <w:jc w:val="left"/>
    </w:pPr>
    <w:rPr>
      <w:sz w:val="18"/>
    </w:rPr>
  </w:style>
  <w:style w:type="paragraph" w:styleId="23">
    <w:name w:val="Body Text Indent 3"/>
    <w:basedOn w:val="1"/>
    <w:autoRedefine/>
    <w:qFormat/>
    <w:uiPriority w:val="0"/>
    <w:pPr>
      <w:spacing w:before="120" w:after="120" w:line="240" w:lineRule="exact"/>
      <w:ind w:left="850"/>
    </w:pPr>
    <w:rPr>
      <w:color w:val="000000"/>
    </w:rPr>
  </w:style>
  <w:style w:type="paragraph" w:styleId="24">
    <w:name w:val="toc 2"/>
    <w:basedOn w:val="1"/>
    <w:next w:val="1"/>
    <w:autoRedefine/>
    <w:qFormat/>
    <w:uiPriority w:val="39"/>
    <w:pPr>
      <w:tabs>
        <w:tab w:val="right" w:leader="dot" w:pos="8302"/>
      </w:tabs>
      <w:ind w:left="210"/>
      <w:jc w:val="left"/>
    </w:pPr>
    <w:rPr>
      <w:rFonts w:ascii="Arial" w:hAnsi="Arial" w:eastAsia="黑体"/>
      <w:bCs/>
      <w:smallCaps/>
      <w:sz w:val="20"/>
      <w:szCs w:val="20"/>
    </w:rPr>
  </w:style>
  <w:style w:type="paragraph" w:styleId="25">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paragraph" w:styleId="26">
    <w:name w:val="Body Text First Indent 2"/>
    <w:basedOn w:val="15"/>
    <w:next w:val="15"/>
    <w:qFormat/>
    <w:uiPriority w:val="0"/>
    <w:pPr>
      <w:tabs>
        <w:tab w:val="left" w:pos="8640"/>
      </w:tabs>
      <w:snapToGrid w:val="0"/>
      <w:spacing w:after="120" w:line="300" w:lineRule="auto"/>
      <w:ind w:left="420" w:leftChars="200"/>
    </w:pPr>
    <w:rPr>
      <w:rFonts w:ascii="Times New Roman"/>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b/>
      <w:bCs/>
    </w:rPr>
  </w:style>
  <w:style w:type="character" w:styleId="31">
    <w:name w:val="page number"/>
    <w:basedOn w:val="29"/>
    <w:autoRedefine/>
    <w:qFormat/>
    <w:uiPriority w:val="0"/>
  </w:style>
  <w:style w:type="character" w:styleId="32">
    <w:name w:val="Hyperlink"/>
    <w:autoRedefine/>
    <w:qFormat/>
    <w:uiPriority w:val="99"/>
    <w:rPr>
      <w:color w:val="0000FF"/>
      <w:u w:val="single"/>
    </w:rPr>
  </w:style>
  <w:style w:type="character" w:styleId="33">
    <w:name w:val="annotation reference"/>
    <w:basedOn w:val="29"/>
    <w:semiHidden/>
    <w:unhideWhenUsed/>
    <w:qFormat/>
    <w:uiPriority w:val="0"/>
    <w:rPr>
      <w:sz w:val="21"/>
      <w:szCs w:val="21"/>
    </w:rPr>
  </w:style>
  <w:style w:type="character" w:styleId="34">
    <w:name w:val="footnote reference"/>
    <w:qFormat/>
    <w:uiPriority w:val="0"/>
    <w:rPr>
      <w:vertAlign w:val="superscript"/>
    </w:rPr>
  </w:style>
  <w:style w:type="paragraph" w:customStyle="1" w:styleId="35">
    <w:name w:val="正文首行缩进（绿盟科技）"/>
    <w:basedOn w:val="1"/>
    <w:autoRedefine/>
    <w:qFormat/>
    <w:uiPriority w:val="0"/>
    <w:pPr>
      <w:widowControl/>
      <w:spacing w:after="50" w:line="300" w:lineRule="auto"/>
      <w:ind w:firstLine="200" w:firstLineChars="200"/>
      <w:jc w:val="left"/>
    </w:pPr>
    <w:rPr>
      <w:rFonts w:ascii="Arial" w:hAnsi="Arial"/>
    </w:rPr>
  </w:style>
  <w:style w:type="paragraph" w:customStyle="1" w:styleId="36">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37">
    <w:name w:val="样式1"/>
    <w:basedOn w:val="2"/>
    <w:link w:val="38"/>
    <w:autoRedefine/>
    <w:qFormat/>
    <w:uiPriority w:val="0"/>
    <w:pPr>
      <w:numPr>
        <w:ilvl w:val="0"/>
        <w:numId w:val="2"/>
      </w:numPr>
    </w:pPr>
    <w:rPr>
      <w:rFonts w:ascii="Calibri" w:hAnsi="Calibri"/>
      <w:sz w:val="36"/>
      <w:szCs w:val="36"/>
    </w:rPr>
  </w:style>
  <w:style w:type="character" w:customStyle="1" w:styleId="38">
    <w:name w:val="样式1 Char"/>
    <w:link w:val="37"/>
    <w:qFormat/>
    <w:uiPriority w:val="0"/>
    <w:rPr>
      <w:rFonts w:ascii="Calibri" w:hAnsi="Calibri"/>
      <w:b/>
      <w:bCs/>
      <w:kern w:val="44"/>
      <w:sz w:val="36"/>
      <w:szCs w:val="36"/>
    </w:rPr>
  </w:style>
  <w:style w:type="paragraph" w:customStyle="1" w:styleId="39">
    <w:name w:val="样式 首行缩进:  2 字符"/>
    <w:basedOn w:val="1"/>
    <w:qFormat/>
    <w:uiPriority w:val="0"/>
    <w:pPr>
      <w:widowControl/>
      <w:spacing w:line="360" w:lineRule="auto"/>
      <w:ind w:left="480"/>
      <w:jc w:val="left"/>
    </w:pPr>
    <w:rPr>
      <w:rFonts w:ascii="Arial" w:hAnsi="Arial"/>
      <w:sz w:val="24"/>
      <w:szCs w:val="20"/>
      <w:lang w:val="zh-CN"/>
    </w:rPr>
  </w:style>
  <w:style w:type="character" w:customStyle="1" w:styleId="40">
    <w:name w:val="标题 2 字符"/>
    <w:link w:val="3"/>
    <w:qFormat/>
    <w:uiPriority w:val="0"/>
    <w:rPr>
      <w:rFonts w:ascii="Arial" w:hAnsi="Arial" w:eastAsia="黑体"/>
      <w:b/>
      <w:color w:val="000000"/>
      <w:kern w:val="2"/>
      <w:sz w:val="28"/>
      <w:lang w:val="en-US" w:eastAsia="zh-CN" w:bidi="ar-SA"/>
    </w:rPr>
  </w:style>
  <w:style w:type="paragraph" w:styleId="41">
    <w:name w:val="List Paragraph"/>
    <w:basedOn w:val="1"/>
    <w:link w:val="46"/>
    <w:qFormat/>
    <w:uiPriority w:val="34"/>
    <w:pPr>
      <w:ind w:firstLine="420" w:firstLineChars="200"/>
    </w:pPr>
    <w:rPr>
      <w:rFonts w:ascii="Calibri" w:hAnsi="Calibri"/>
      <w:szCs w:val="22"/>
    </w:rPr>
  </w:style>
  <w:style w:type="character" w:customStyle="1" w:styleId="42">
    <w:name w:val="正文文本 字符"/>
    <w:link w:val="14"/>
    <w:qFormat/>
    <w:uiPriority w:val="0"/>
    <w:rPr>
      <w:kern w:val="2"/>
      <w:sz w:val="21"/>
      <w:szCs w:val="24"/>
      <w:lang w:val="zh-CN" w:eastAsia="zh-CN"/>
    </w:rPr>
  </w:style>
  <w:style w:type="paragraph" w:customStyle="1" w:styleId="43">
    <w:name w:val="普通文字"/>
    <w:basedOn w:val="1"/>
    <w:next w:val="1"/>
    <w:qFormat/>
    <w:uiPriority w:val="0"/>
    <w:pPr>
      <w:widowControl/>
    </w:pPr>
    <w:rPr>
      <w:rFonts w:ascii="宋体"/>
      <w:color w:val="000000"/>
      <w:szCs w:val="20"/>
    </w:rPr>
  </w:style>
  <w:style w:type="character" w:customStyle="1" w:styleId="44">
    <w:name w:val="正文缩进 字符1"/>
    <w:link w:val="4"/>
    <w:qFormat/>
    <w:locked/>
    <w:uiPriority w:val="0"/>
    <w:rPr>
      <w:kern w:val="2"/>
      <w:sz w:val="24"/>
    </w:rPr>
  </w:style>
  <w:style w:type="paragraph" w:customStyle="1" w:styleId="45">
    <w:name w:val="样式 标题 2 + 四号"/>
    <w:basedOn w:val="3"/>
    <w:qFormat/>
    <w:uiPriority w:val="0"/>
    <w:pPr>
      <w:widowControl/>
      <w:spacing w:before="200" w:after="0" w:line="276" w:lineRule="auto"/>
      <w:jc w:val="left"/>
    </w:pPr>
    <w:rPr>
      <w:rFonts w:ascii="Cambria" w:hAnsi="Cambria" w:eastAsia="宋体"/>
      <w:bCs/>
      <w:color w:val="auto"/>
      <w:szCs w:val="26"/>
    </w:rPr>
  </w:style>
  <w:style w:type="character" w:customStyle="1" w:styleId="46">
    <w:name w:val="列表段落 字符"/>
    <w:link w:val="41"/>
    <w:autoRedefine/>
    <w:qFormat/>
    <w:uiPriority w:val="34"/>
    <w:rPr>
      <w:rFonts w:ascii="Calibri" w:hAnsi="Calibri"/>
      <w:kern w:val="2"/>
      <w:sz w:val="21"/>
      <w:szCs w:val="22"/>
    </w:rPr>
  </w:style>
  <w:style w:type="character" w:customStyle="1" w:styleId="47">
    <w:name w:val="脚注文本 字符"/>
    <w:link w:val="22"/>
    <w:qFormat/>
    <w:uiPriority w:val="0"/>
    <w:rPr>
      <w:kern w:val="2"/>
      <w:sz w:val="18"/>
      <w:szCs w:val="24"/>
    </w:rPr>
  </w:style>
  <w:style w:type="character" w:customStyle="1" w:styleId="48">
    <w:name w:val="正文缩进 字符"/>
    <w:autoRedefine/>
    <w:qFormat/>
    <w:locked/>
    <w:uiPriority w:val="0"/>
    <w:rPr>
      <w:rFonts w:ascii="Times New Roman" w:hAnsi="Times New Roman" w:eastAsia="宋体" w:cs="Times New Roman"/>
      <w:sz w:val="24"/>
      <w:szCs w:val="20"/>
    </w:rPr>
  </w:style>
  <w:style w:type="character" w:customStyle="1" w:styleId="49">
    <w:name w:val="NormalCharacter"/>
    <w:autoRedefine/>
    <w:qFormat/>
    <w:uiPriority w:val="0"/>
  </w:style>
  <w:style w:type="paragraph" w:customStyle="1" w:styleId="50">
    <w:name w:val="正文样式"/>
    <w:basedOn w:val="1"/>
    <w:qFormat/>
    <w:uiPriority w:val="0"/>
    <w:pPr>
      <w:widowControl/>
      <w:spacing w:before="260" w:after="260" w:line="360" w:lineRule="auto"/>
      <w:ind w:firstLine="480" w:firstLineChars="200"/>
    </w:pPr>
    <w:rPr>
      <w:rFonts w:ascii="Calibri" w:hAnsi="Calibri"/>
      <w:sz w:val="24"/>
    </w:rPr>
  </w:style>
  <w:style w:type="table" w:customStyle="1" w:styleId="51">
    <w:name w:val="网格型1"/>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页脚 字符"/>
    <w:basedOn w:val="29"/>
    <w:link w:val="18"/>
    <w:autoRedefine/>
    <w:qFormat/>
    <w:uiPriority w:val="0"/>
    <w:rPr>
      <w:sz w:val="18"/>
      <w:szCs w:val="20"/>
    </w:rPr>
  </w:style>
  <w:style w:type="paragraph" w:customStyle="1" w:styleId="53">
    <w:name w:val="列出段落2"/>
    <w:basedOn w:val="1"/>
    <w:link w:val="54"/>
    <w:qFormat/>
    <w:uiPriority w:val="34"/>
    <w:pPr>
      <w:ind w:firstLine="420" w:firstLineChars="200"/>
    </w:pPr>
    <w:rPr>
      <w:kern w:val="2"/>
      <w:szCs w:val="24"/>
    </w:rPr>
  </w:style>
  <w:style w:type="character" w:customStyle="1" w:styleId="54">
    <w:name w:val="列出段落 Char"/>
    <w:link w:val="53"/>
    <w:qFormat/>
    <w:uiPriority w:val="34"/>
    <w:rPr>
      <w:kern w:val="2"/>
      <w:sz w:val="21"/>
      <w:szCs w:val="24"/>
    </w:rPr>
  </w:style>
  <w:style w:type="character" w:customStyle="1" w:styleId="55">
    <w:name w:val="Unresolved Mention"/>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footer" Target="footer3.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3075"/>
    <customShpInfo spid="_x0000_s3073"/>
    <customShpInfo spid="_x0000_s3087"/>
    <customShpInfo spid="_x0000_s3085"/>
    <customShpInfo spid="_x0000_s3083"/>
    <customShpInfo spid="_x0000_s30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F6587A-2115-43DD-A2F0-CA90BA173B91}">
  <ds:schemaRefs/>
</ds:datastoreItem>
</file>

<file path=docProps/app.xml><?xml version="1.0" encoding="utf-8"?>
<Properties xmlns="http://schemas.openxmlformats.org/officeDocument/2006/extended-properties" xmlns:vt="http://schemas.openxmlformats.org/officeDocument/2006/docPropsVTypes">
  <Template>Normal.dotm</Template>
  <Company>chinastock</Company>
  <Pages>16</Pages>
  <Words>6128</Words>
  <Characters>6356</Characters>
  <Lines>79</Lines>
  <Paragraphs>22</Paragraphs>
  <TotalTime>92</TotalTime>
  <ScaleCrop>false</ScaleCrop>
  <LinksUpToDate>false</LinksUpToDate>
  <CharactersWithSpaces>6448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2023-12-29T07:13:00Z</dcterms:created>
  <dc:creator>luxianfeng</dc:creator>
  <cp:lastModifiedBy>Abner</cp:lastModifiedBy>
  <cp:lastPrinted>2008-04-24T00:40:00Z</cp:lastPrinted>
  <dcterms:modified xsi:type="dcterms:W3CDTF">2026-09-02T02:37:20Z</dcterms:modified>
  <dc:title>招标书</dc:title>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C63266BD540D4DA8BF9CE5AD02007D79_13</vt:lpwstr>
  </property>
  <property fmtid="{D5CDD505-2E9C-101B-9397-08002B2CF9AE}" pid="4" name="KSOTemplateDocerSaveRecord">
    <vt:lpwstr>eyJoZGlkIjoiODEwODBlYTg2YTQ1NjM1YTA5ZTdmMjU4OGQ5MTM1NjAiLCJ1c2VySWQiOiI5MDQ0ODI2OTMifQ==</vt:lpwstr>
  </property>
</Properties>
</file>