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342A14">
      <w:pPr>
        <w:spacing w:after="320"/>
        <w:jc w:val="center"/>
        <w:rPr>
          <w:highlight w:val="none"/>
        </w:rPr>
      </w:pPr>
      <w:r>
        <w:rPr>
          <w:rFonts w:ascii="方正小标宋简体" w:hAnsi="方正小标宋简体" w:eastAsia="方正小标宋简体"/>
          <w:b w:val="0"/>
          <w:sz w:val="36"/>
          <w:highlight w:val="none"/>
        </w:rPr>
        <w:t>国盛期货有限责任公司</w:t>
      </w:r>
      <w:r>
        <w:rPr>
          <w:rFonts w:ascii="方正小标宋简体" w:hAnsi="方正小标宋简体" w:eastAsia="方正小标宋简体"/>
          <w:b w:val="0"/>
          <w:sz w:val="36"/>
          <w:highlight w:val="none"/>
        </w:rPr>
        <w:br w:type="textWrapping"/>
      </w:r>
      <w:r>
        <w:rPr>
          <w:rFonts w:ascii="方正小标宋简体" w:hAnsi="方正小标宋简体" w:eastAsia="方正小标宋简体"/>
          <w:b w:val="0"/>
          <w:sz w:val="36"/>
          <w:highlight w:val="none"/>
        </w:rPr>
        <w:t>首席风险官离任审计服务项目</w:t>
      </w:r>
      <w:r>
        <w:rPr>
          <w:rFonts w:ascii="方正小标宋简体" w:hAnsi="方正小标宋简体" w:eastAsia="方正小标宋简体"/>
          <w:b w:val="0"/>
          <w:sz w:val="36"/>
          <w:highlight w:val="none"/>
        </w:rPr>
        <w:br w:type="textWrapping"/>
      </w:r>
      <w:r>
        <w:rPr>
          <w:rFonts w:ascii="方正小标宋简体" w:hAnsi="方正小标宋简体" w:eastAsia="方正小标宋简体"/>
          <w:b w:val="0"/>
          <w:sz w:val="36"/>
          <w:highlight w:val="none"/>
        </w:rPr>
        <w:t>商务谈判公告</w:t>
      </w:r>
    </w:p>
    <w:p w14:paraId="75D7B217">
      <w:pPr>
        <w:spacing w:line="336" w:lineRule="auto"/>
        <w:ind w:firstLine="560"/>
        <w:rPr>
          <w:highlight w:val="none"/>
        </w:rPr>
      </w:pPr>
      <w:r>
        <w:rPr>
          <w:rFonts w:ascii="仿宋_GB2312" w:hAnsi="仿宋_GB2312" w:eastAsia="仿宋_GB2312"/>
          <w:b w:val="0"/>
          <w:sz w:val="28"/>
          <w:highlight w:val="none"/>
        </w:rPr>
        <w:t>国盛期货有限责任公司拟就首席风险官离任审计服务项目开展商务谈判采购，现公开征集供应商。有关事项公告如下。</w:t>
      </w:r>
    </w:p>
    <w:p w14:paraId="1058506C">
      <w:pPr>
        <w:spacing w:before="200" w:after="80"/>
        <w:rPr>
          <w:highlight w:val="none"/>
        </w:rPr>
      </w:pPr>
      <w:r>
        <w:rPr>
          <w:rFonts w:ascii="黑体" w:hAnsi="黑体" w:eastAsia="黑体"/>
          <w:b w:val="0"/>
          <w:sz w:val="28"/>
          <w:highlight w:val="none"/>
        </w:rPr>
        <w:t>一、项目概况</w:t>
      </w:r>
    </w:p>
    <w:p w14:paraId="03822CF1">
      <w:pPr>
        <w:spacing w:line="336" w:lineRule="auto"/>
        <w:ind w:firstLine="560"/>
        <w:rPr>
          <w:highlight w:val="none"/>
        </w:rPr>
      </w:pPr>
      <w:r>
        <w:rPr>
          <w:rFonts w:ascii="仿宋_GB2312" w:hAnsi="仿宋_GB2312" w:eastAsia="仿宋_GB2312"/>
          <w:b w:val="0"/>
          <w:sz w:val="28"/>
          <w:highlight w:val="none"/>
        </w:rPr>
        <w:t>（一）项目名称：国盛期货有限责任公司首席风险官离任审计服务项目</w:t>
      </w:r>
    </w:p>
    <w:p w14:paraId="1E10C1AB">
      <w:pPr>
        <w:spacing w:line="336" w:lineRule="auto"/>
        <w:ind w:firstLine="560"/>
        <w:rPr>
          <w:highlight w:val="none"/>
        </w:rPr>
      </w:pPr>
      <w:r>
        <w:rPr>
          <w:rFonts w:ascii="仿宋_GB2312" w:hAnsi="仿宋_GB2312" w:eastAsia="仿宋_GB2312"/>
          <w:b w:val="0"/>
          <w:sz w:val="28"/>
          <w:highlight w:val="none"/>
        </w:rPr>
        <w:t>（</w:t>
      </w:r>
      <w:r>
        <w:rPr>
          <w:rFonts w:hint="eastAsia"/>
          <w:b w:val="0"/>
          <w:sz w:val="28"/>
          <w:highlight w:val="none"/>
          <w:lang w:val="en-US" w:eastAsia="zh-CN"/>
        </w:rPr>
        <w:t>二</w:t>
      </w:r>
      <w:r>
        <w:rPr>
          <w:rFonts w:ascii="仿宋_GB2312" w:hAnsi="仿宋_GB2312" w:eastAsia="仿宋_GB2312"/>
          <w:b w:val="0"/>
          <w:sz w:val="28"/>
          <w:highlight w:val="none"/>
        </w:rPr>
        <w:t>）采购人：国盛期货有限责任公司</w:t>
      </w:r>
    </w:p>
    <w:p w14:paraId="3A6413C2">
      <w:pPr>
        <w:spacing w:line="336" w:lineRule="auto"/>
        <w:ind w:firstLine="560"/>
        <w:rPr>
          <w:highlight w:val="none"/>
        </w:rPr>
      </w:pPr>
      <w:r>
        <w:rPr>
          <w:rFonts w:ascii="仿宋_GB2312" w:hAnsi="仿宋_GB2312" w:eastAsia="仿宋_GB2312"/>
          <w:b w:val="0"/>
          <w:sz w:val="28"/>
          <w:highlight w:val="none"/>
        </w:rPr>
        <w:t>（</w:t>
      </w:r>
      <w:r>
        <w:rPr>
          <w:rFonts w:hint="eastAsia"/>
          <w:b w:val="0"/>
          <w:sz w:val="28"/>
          <w:highlight w:val="none"/>
          <w:lang w:val="en-US" w:eastAsia="zh-CN"/>
        </w:rPr>
        <w:t>三</w:t>
      </w:r>
      <w:r>
        <w:rPr>
          <w:rFonts w:ascii="仿宋_GB2312" w:hAnsi="仿宋_GB2312" w:eastAsia="仿宋_GB2312"/>
          <w:b w:val="0"/>
          <w:sz w:val="28"/>
          <w:highlight w:val="none"/>
        </w:rPr>
        <w:t>）资金来源：公司自有资金</w:t>
      </w:r>
    </w:p>
    <w:p w14:paraId="0A83A449">
      <w:pPr>
        <w:spacing w:line="336" w:lineRule="auto"/>
        <w:ind w:firstLine="560"/>
        <w:rPr>
          <w:highlight w:val="none"/>
        </w:rPr>
      </w:pPr>
      <w:r>
        <w:rPr>
          <w:rFonts w:ascii="仿宋_GB2312" w:hAnsi="仿宋_GB2312" w:eastAsia="仿宋_GB2312"/>
          <w:b w:val="0"/>
          <w:sz w:val="28"/>
          <w:highlight w:val="none"/>
        </w:rPr>
        <w:t>（</w:t>
      </w:r>
      <w:r>
        <w:rPr>
          <w:rFonts w:hint="eastAsia"/>
          <w:b w:val="0"/>
          <w:sz w:val="28"/>
          <w:highlight w:val="none"/>
          <w:lang w:val="en-US" w:eastAsia="zh-CN"/>
        </w:rPr>
        <w:t>四</w:t>
      </w:r>
      <w:r>
        <w:rPr>
          <w:rFonts w:ascii="仿宋_GB2312" w:hAnsi="仿宋_GB2312" w:eastAsia="仿宋_GB2312"/>
          <w:b w:val="0"/>
          <w:sz w:val="28"/>
          <w:highlight w:val="none"/>
        </w:rPr>
        <w:t>）采购方式：商务谈判</w:t>
      </w:r>
    </w:p>
    <w:p w14:paraId="40D05189">
      <w:pPr>
        <w:spacing w:line="336" w:lineRule="auto"/>
        <w:ind w:firstLine="560"/>
        <w:rPr>
          <w:highlight w:val="none"/>
        </w:rPr>
      </w:pPr>
      <w:r>
        <w:rPr>
          <w:rFonts w:ascii="仿宋_GB2312" w:hAnsi="仿宋_GB2312" w:eastAsia="仿宋_GB2312"/>
          <w:b w:val="0"/>
          <w:sz w:val="28"/>
          <w:highlight w:val="none"/>
        </w:rPr>
        <w:t>（</w:t>
      </w:r>
      <w:r>
        <w:rPr>
          <w:rFonts w:hint="eastAsia"/>
          <w:b w:val="0"/>
          <w:sz w:val="28"/>
          <w:highlight w:val="none"/>
          <w:lang w:val="en-US" w:eastAsia="zh-CN"/>
        </w:rPr>
        <w:t>五</w:t>
      </w:r>
      <w:r>
        <w:rPr>
          <w:rFonts w:ascii="仿宋_GB2312" w:hAnsi="仿宋_GB2312" w:eastAsia="仿宋_GB2312"/>
          <w:b w:val="0"/>
          <w:sz w:val="28"/>
          <w:highlight w:val="none"/>
        </w:rPr>
        <w:t>）最高限价：人民币20万元（含税）。响应报价超过最高限价的，作无效响应处理。</w:t>
      </w:r>
    </w:p>
    <w:p w14:paraId="2BE1E373">
      <w:pPr>
        <w:spacing w:line="336" w:lineRule="auto"/>
        <w:ind w:firstLine="560"/>
        <w:rPr>
          <w:highlight w:val="none"/>
        </w:rPr>
      </w:pPr>
      <w:r>
        <w:rPr>
          <w:rFonts w:ascii="仿宋_GB2312" w:hAnsi="仿宋_GB2312" w:eastAsia="仿宋_GB2312"/>
          <w:b w:val="0"/>
          <w:sz w:val="28"/>
          <w:highlight w:val="none"/>
        </w:rPr>
        <w:t>（</w:t>
      </w:r>
      <w:r>
        <w:rPr>
          <w:rFonts w:hint="eastAsia"/>
          <w:b w:val="0"/>
          <w:sz w:val="28"/>
          <w:highlight w:val="none"/>
          <w:lang w:val="en-US" w:eastAsia="zh-CN"/>
        </w:rPr>
        <w:t>六</w:t>
      </w:r>
      <w:r>
        <w:rPr>
          <w:rFonts w:ascii="仿宋_GB2312" w:hAnsi="仿宋_GB2312" w:eastAsia="仿宋_GB2312"/>
          <w:b w:val="0"/>
          <w:sz w:val="28"/>
          <w:highlight w:val="none"/>
        </w:rPr>
        <w:t>）参与谈判的供应商不少于3家；不足3家的，采购人有权重新组织采购。</w:t>
      </w:r>
    </w:p>
    <w:p w14:paraId="3271B3B7">
      <w:pPr>
        <w:spacing w:before="200" w:after="80"/>
        <w:rPr>
          <w:highlight w:val="none"/>
        </w:rPr>
      </w:pPr>
      <w:r>
        <w:rPr>
          <w:rFonts w:ascii="黑体" w:hAnsi="黑体" w:eastAsia="黑体"/>
          <w:b w:val="0"/>
          <w:sz w:val="28"/>
          <w:highlight w:val="none"/>
        </w:rPr>
        <w:t>二、审计对象与审计期间</w:t>
      </w:r>
    </w:p>
    <w:p w14:paraId="675B21E7">
      <w:pPr>
        <w:spacing w:line="336" w:lineRule="auto"/>
        <w:ind w:firstLine="560"/>
        <w:rPr>
          <w:highlight w:val="none"/>
        </w:rPr>
      </w:pPr>
      <w:r>
        <w:rPr>
          <w:rFonts w:ascii="仿宋_GB2312" w:hAnsi="仿宋_GB2312" w:eastAsia="仿宋_GB2312"/>
          <w:b w:val="0"/>
          <w:sz w:val="28"/>
          <w:highlight w:val="none"/>
        </w:rPr>
        <w:t>审计对象为公司首席风险官。审计期间自</w:t>
      </w:r>
      <w:r>
        <w:rPr>
          <w:rFonts w:hint="eastAsia"/>
          <w:b w:val="0"/>
          <w:sz w:val="28"/>
          <w:highlight w:val="none"/>
          <w:lang w:val="en-US" w:eastAsia="zh-CN"/>
        </w:rPr>
        <w:t>2019年9月</w:t>
      </w:r>
      <w:r>
        <w:rPr>
          <w:rFonts w:ascii="仿宋_GB2312" w:hAnsi="仿宋_GB2312" w:eastAsia="仿宋_GB2312"/>
          <w:b w:val="0"/>
          <w:sz w:val="28"/>
          <w:highlight w:val="none"/>
        </w:rPr>
        <w:t>起至办理</w:t>
      </w:r>
      <w:r>
        <w:rPr>
          <w:rFonts w:hint="eastAsia"/>
          <w:b w:val="0"/>
          <w:sz w:val="28"/>
          <w:highlight w:val="none"/>
          <w:lang w:val="en-US" w:eastAsia="zh-CN"/>
        </w:rPr>
        <w:t>首席风险官</w:t>
      </w:r>
      <w:r>
        <w:rPr>
          <w:rFonts w:ascii="仿宋_GB2312" w:hAnsi="仿宋_GB2312" w:eastAsia="仿宋_GB2312"/>
          <w:b w:val="0"/>
          <w:sz w:val="28"/>
          <w:highlight w:val="none"/>
        </w:rPr>
        <w:t>离任手续之日止，按其先后担任的职务分为两段：</w:t>
      </w:r>
    </w:p>
    <w:p w14:paraId="60F748E1">
      <w:pPr>
        <w:spacing w:line="336" w:lineRule="auto"/>
        <w:ind w:firstLine="560"/>
        <w:rPr>
          <w:highlight w:val="none"/>
        </w:rPr>
      </w:pPr>
      <w:r>
        <w:rPr>
          <w:rFonts w:ascii="仿宋_GB2312" w:hAnsi="仿宋_GB2312" w:eastAsia="仿宋_GB2312"/>
          <w:b w:val="0"/>
          <w:sz w:val="28"/>
          <w:highlight w:val="none"/>
        </w:rPr>
        <w:t>（一）第一段</w:t>
      </w:r>
      <w:r>
        <w:rPr>
          <w:rFonts w:hint="eastAsia"/>
          <w:b w:val="0"/>
          <w:sz w:val="28"/>
          <w:highlight w:val="none"/>
          <w:lang w:val="en-US" w:eastAsia="zh-CN"/>
        </w:rPr>
        <w:t>2019年9月至2023年12月</w:t>
      </w:r>
      <w:r>
        <w:rPr>
          <w:rFonts w:ascii="仿宋_GB2312" w:hAnsi="仿宋_GB2312" w:eastAsia="仿宋_GB2312"/>
          <w:b w:val="0"/>
          <w:sz w:val="28"/>
          <w:highlight w:val="none"/>
        </w:rPr>
        <w:t>：任公司副总经理、分管结算风控部及交易客服中心期间。</w:t>
      </w:r>
    </w:p>
    <w:p w14:paraId="2C20AF32">
      <w:pPr>
        <w:spacing w:line="336" w:lineRule="auto"/>
        <w:ind w:firstLine="560"/>
        <w:rPr>
          <w:highlight w:val="none"/>
        </w:rPr>
      </w:pPr>
      <w:r>
        <w:rPr>
          <w:rFonts w:ascii="仿宋_GB2312" w:hAnsi="仿宋_GB2312" w:eastAsia="仿宋_GB2312"/>
          <w:b w:val="0"/>
          <w:sz w:val="28"/>
          <w:highlight w:val="none"/>
        </w:rPr>
        <w:t>（二）第二段</w:t>
      </w:r>
      <w:r>
        <w:rPr>
          <w:rFonts w:hint="eastAsia"/>
          <w:b w:val="0"/>
          <w:sz w:val="28"/>
          <w:highlight w:val="none"/>
          <w:lang w:val="en-US" w:eastAsia="zh-CN"/>
        </w:rPr>
        <w:t>2023年12月至今</w:t>
      </w:r>
      <w:r>
        <w:rPr>
          <w:rFonts w:ascii="仿宋_GB2312" w:hAnsi="仿宋_GB2312" w:eastAsia="仿宋_GB2312"/>
          <w:b w:val="0"/>
          <w:sz w:val="28"/>
          <w:highlight w:val="none"/>
        </w:rPr>
        <w:t>：任首席风险官、分管合规稽核与风险中心期间。</w:t>
      </w:r>
    </w:p>
    <w:p w14:paraId="134B4A43">
      <w:pPr>
        <w:spacing w:before="200" w:after="80"/>
        <w:rPr>
          <w:highlight w:val="none"/>
        </w:rPr>
      </w:pPr>
      <w:r>
        <w:rPr>
          <w:rFonts w:ascii="黑体" w:hAnsi="黑体" w:eastAsia="黑体"/>
          <w:b w:val="0"/>
          <w:sz w:val="28"/>
          <w:highlight w:val="none"/>
        </w:rPr>
        <w:t>三、审计范围与内容</w:t>
      </w:r>
    </w:p>
    <w:p w14:paraId="29640117">
      <w:pPr>
        <w:spacing w:line="336" w:lineRule="auto"/>
        <w:ind w:firstLine="560"/>
        <w:rPr>
          <w:highlight w:val="none"/>
        </w:rPr>
      </w:pPr>
      <w:r>
        <w:rPr>
          <w:rFonts w:ascii="仿宋_GB2312" w:hAnsi="仿宋_GB2312" w:eastAsia="仿宋_GB2312"/>
          <w:b w:val="0"/>
          <w:sz w:val="28"/>
          <w:highlight w:val="none"/>
        </w:rPr>
        <w:t>（一）机构范围</w:t>
      </w:r>
      <w:r>
        <w:rPr>
          <w:rFonts w:hint="eastAsia"/>
          <w:b w:val="0"/>
          <w:sz w:val="28"/>
          <w:highlight w:val="none"/>
          <w:lang w:eastAsia="zh-CN"/>
        </w:rPr>
        <w:t>：</w:t>
      </w:r>
      <w:r>
        <w:rPr>
          <w:rFonts w:hint="eastAsia"/>
          <w:b w:val="0"/>
          <w:sz w:val="28"/>
          <w:highlight w:val="none"/>
          <w:lang w:val="en-US" w:eastAsia="zh-CN"/>
        </w:rPr>
        <w:t>国盛期货有限责任公司</w:t>
      </w:r>
      <w:r>
        <w:rPr>
          <w:rFonts w:ascii="仿宋_GB2312" w:hAnsi="仿宋_GB2312" w:eastAsia="仿宋_GB2312"/>
          <w:b w:val="0"/>
          <w:sz w:val="28"/>
          <w:highlight w:val="none"/>
        </w:rPr>
        <w:t>。</w:t>
      </w:r>
    </w:p>
    <w:p w14:paraId="06F84D16">
      <w:pPr>
        <w:spacing w:line="336" w:lineRule="auto"/>
        <w:ind w:firstLine="560"/>
        <w:rPr>
          <w:highlight w:val="none"/>
        </w:rPr>
      </w:pPr>
      <w:r>
        <w:rPr>
          <w:rFonts w:ascii="仿宋_GB2312" w:hAnsi="仿宋_GB2312" w:eastAsia="仿宋_GB2312"/>
          <w:b w:val="0"/>
          <w:sz w:val="28"/>
          <w:highlight w:val="none"/>
        </w:rPr>
        <w:t>（二）第一段审计内容</w:t>
      </w:r>
    </w:p>
    <w:p w14:paraId="1A832576">
      <w:pPr>
        <w:spacing w:line="336" w:lineRule="auto"/>
        <w:ind w:firstLine="560"/>
        <w:rPr>
          <w:rFonts w:ascii="仿宋_GB2312" w:hAnsi="仿宋_GB2312" w:eastAsia="仿宋_GB2312"/>
          <w:b w:val="0"/>
          <w:sz w:val="28"/>
          <w:highlight w:val="none"/>
        </w:rPr>
      </w:pPr>
      <w:r>
        <w:rPr>
          <w:rFonts w:ascii="仿宋_GB2312" w:hAnsi="仿宋_GB2312" w:eastAsia="仿宋_GB2312"/>
          <w:b w:val="0"/>
          <w:sz w:val="28"/>
          <w:highlight w:val="none"/>
        </w:rPr>
        <w:t>被审计人任副总经理、分管结算风控部及交易客服中心期间，其分管范围内的职责履行情况，至少包括：结算业务管理的规范性、风险控制制度的建立与执行、客户资金安全管理、客户投诉与纠纷处理、分管部门内部控制缺陷的识别与整改。</w:t>
      </w:r>
    </w:p>
    <w:p w14:paraId="3D72DC89">
      <w:pPr>
        <w:spacing w:line="336" w:lineRule="auto"/>
        <w:ind w:firstLine="560"/>
        <w:rPr>
          <w:highlight w:val="none"/>
        </w:rPr>
      </w:pPr>
      <w:r>
        <w:rPr>
          <w:rFonts w:ascii="仿宋_GB2312" w:hAnsi="仿宋_GB2312" w:eastAsia="仿宋_GB2312"/>
          <w:b w:val="0"/>
          <w:sz w:val="28"/>
          <w:highlight w:val="none"/>
        </w:rPr>
        <w:t>（三）第二段审计内容</w:t>
      </w:r>
    </w:p>
    <w:p w14:paraId="0C9E6B83">
      <w:pPr>
        <w:spacing w:line="336" w:lineRule="auto"/>
        <w:ind w:firstLine="560"/>
        <w:rPr>
          <w:highlight w:val="none"/>
        </w:rPr>
      </w:pPr>
      <w:r>
        <w:rPr>
          <w:rFonts w:ascii="仿宋_GB2312" w:hAnsi="仿宋_GB2312" w:eastAsia="仿宋_GB2312"/>
          <w:b w:val="0"/>
          <w:sz w:val="28"/>
          <w:highlight w:val="none"/>
        </w:rPr>
        <w:t>被审计人任首席风险官、分管合规稽核与风险中心期间，其法定与内部职责的履行情况，至少包括：合规监督检查的开展情况、风险管理制度健全性与有效性的评估、重大合规风险隐患的发现与报告、向董事会及监管机构报送报告的及时性与完整性、对监管检查与整改要求的落实、分管部门的组织与履职情况。</w:t>
      </w:r>
    </w:p>
    <w:p w14:paraId="02B0059B">
      <w:pPr>
        <w:spacing w:line="336" w:lineRule="auto"/>
        <w:ind w:firstLine="560"/>
        <w:rPr>
          <w:highlight w:val="none"/>
        </w:rPr>
      </w:pPr>
      <w:r>
        <w:rPr>
          <w:rFonts w:ascii="仿宋_GB2312" w:hAnsi="仿宋_GB2312" w:eastAsia="仿宋_GB2312"/>
          <w:b w:val="0"/>
          <w:sz w:val="28"/>
          <w:highlight w:val="none"/>
        </w:rPr>
        <w:t>（四）共同事项</w:t>
      </w:r>
    </w:p>
    <w:p w14:paraId="508260CD">
      <w:pPr>
        <w:spacing w:line="336" w:lineRule="auto"/>
        <w:ind w:firstLine="560"/>
        <w:rPr>
          <w:highlight w:val="none"/>
        </w:rPr>
      </w:pPr>
      <w:r>
        <w:rPr>
          <w:rFonts w:ascii="仿宋_GB2312" w:hAnsi="仿宋_GB2312" w:eastAsia="仿宋_GB2312"/>
          <w:b w:val="0"/>
          <w:sz w:val="28"/>
          <w:highlight w:val="none"/>
        </w:rPr>
        <w:t>任职期间的重大决策与授权审批、与其履职相关的费用支出与资源使用、监管处罚与自律措施的发生及处理、离任交接事项的完整性。</w:t>
      </w:r>
    </w:p>
    <w:p w14:paraId="2F4CDA94">
      <w:pPr>
        <w:spacing w:before="200" w:after="80"/>
        <w:rPr>
          <w:highlight w:val="none"/>
        </w:rPr>
      </w:pPr>
      <w:r>
        <w:rPr>
          <w:rFonts w:ascii="黑体" w:hAnsi="黑体" w:eastAsia="黑体"/>
          <w:b w:val="0"/>
          <w:sz w:val="28"/>
          <w:highlight w:val="none"/>
        </w:rPr>
        <w:t>四、审计要求</w:t>
      </w:r>
    </w:p>
    <w:p w14:paraId="0FA8CCD2">
      <w:pPr>
        <w:spacing w:line="336" w:lineRule="auto"/>
        <w:ind w:firstLine="560"/>
        <w:rPr>
          <w:highlight w:val="none"/>
        </w:rPr>
      </w:pPr>
      <w:r>
        <w:rPr>
          <w:rFonts w:ascii="仿宋_GB2312" w:hAnsi="仿宋_GB2312" w:eastAsia="仿宋_GB2312"/>
          <w:b w:val="0"/>
          <w:sz w:val="28"/>
          <w:highlight w:val="none"/>
        </w:rPr>
        <w:t>（一）责任认定分段进行</w:t>
      </w:r>
    </w:p>
    <w:p w14:paraId="6B3DD1D7">
      <w:pPr>
        <w:spacing w:line="336" w:lineRule="auto"/>
        <w:ind w:firstLine="560"/>
        <w:rPr>
          <w:highlight w:val="none"/>
        </w:rPr>
      </w:pPr>
      <w:r>
        <w:rPr>
          <w:rFonts w:ascii="仿宋_GB2312" w:hAnsi="仿宋_GB2312" w:eastAsia="仿宋_GB2312"/>
          <w:b w:val="0"/>
          <w:sz w:val="28"/>
          <w:highlight w:val="none"/>
        </w:rPr>
        <w:t>审计报告须按本公告第二条所列两段分别表述审计发现与责任认定，不得合并出具单一笼统结论。第一段发现的问题，应揭示事实、认定金额或影响，并单独列示被审计人在其当时所任职务职责范围内应承担的责任事项；不属于其职责范围的，应说明事实但不计入其个人责任。第二段应按直接责任、领导责任分别认定。</w:t>
      </w:r>
    </w:p>
    <w:p w14:paraId="0A077825">
      <w:pPr>
        <w:spacing w:line="336" w:lineRule="auto"/>
        <w:ind w:firstLine="560"/>
        <w:rPr>
          <w:highlight w:val="none"/>
        </w:rPr>
      </w:pPr>
      <w:r>
        <w:rPr>
          <w:rFonts w:ascii="仿宋_GB2312" w:hAnsi="仿宋_GB2312" w:eastAsia="仿宋_GB2312"/>
          <w:b w:val="0"/>
          <w:sz w:val="28"/>
          <w:highlight w:val="none"/>
        </w:rPr>
        <w:t>（二）跨期遗留事项清单</w:t>
      </w:r>
    </w:p>
    <w:p w14:paraId="021FDE61">
      <w:pPr>
        <w:spacing w:line="336" w:lineRule="auto"/>
        <w:ind w:firstLine="560"/>
        <w:rPr>
          <w:highlight w:val="none"/>
        </w:rPr>
      </w:pPr>
      <w:r>
        <w:rPr>
          <w:rFonts w:ascii="仿宋_GB2312" w:hAnsi="仿宋_GB2312" w:eastAsia="仿宋_GB2312"/>
          <w:b w:val="0"/>
          <w:sz w:val="28"/>
          <w:highlight w:val="none"/>
        </w:rPr>
        <w:t>对形成于第一段、延续至第二段仍未整改的风险事项与制度缺陷，须单独编制《跨期遗留事项清单》，逐项列明形成时间、性质、当时的责任归属、现状及未整改原因。该清单为本项目必备成果，缺少的视为未完成合同义务。</w:t>
      </w:r>
    </w:p>
    <w:p w14:paraId="1650B2D7">
      <w:pPr>
        <w:spacing w:line="336" w:lineRule="auto"/>
        <w:ind w:firstLine="560"/>
        <w:rPr>
          <w:highlight w:val="none"/>
        </w:rPr>
      </w:pPr>
      <w:r>
        <w:rPr>
          <w:rFonts w:ascii="仿宋_GB2312" w:hAnsi="仿宋_GB2312" w:eastAsia="仿宋_GB2312"/>
          <w:b w:val="0"/>
          <w:sz w:val="28"/>
          <w:highlight w:val="none"/>
        </w:rPr>
        <w:t>（三）独立性要求</w:t>
      </w:r>
    </w:p>
    <w:p w14:paraId="4C254809">
      <w:pPr>
        <w:spacing w:line="336" w:lineRule="auto"/>
        <w:ind w:firstLine="560"/>
        <w:rPr>
          <w:highlight w:val="none"/>
        </w:rPr>
      </w:pPr>
      <w:r>
        <w:rPr>
          <w:rFonts w:ascii="仿宋_GB2312" w:hAnsi="仿宋_GB2312" w:eastAsia="仿宋_GB2312"/>
          <w:b w:val="0"/>
          <w:sz w:val="28"/>
          <w:highlight w:val="none"/>
        </w:rPr>
        <w:t>审计机构及其项目组成员与被审计人不得存在关联关系或利益冲突。审计过程中，被审计人原分管部门的人员不作为本项目的资料对接与沟通渠道；审计机构应直接向采购人指定的联络人报告。</w:t>
      </w:r>
    </w:p>
    <w:p w14:paraId="10B1D610">
      <w:pPr>
        <w:spacing w:line="336" w:lineRule="auto"/>
        <w:ind w:firstLine="560"/>
        <w:rPr>
          <w:highlight w:val="none"/>
        </w:rPr>
      </w:pPr>
      <w:r>
        <w:rPr>
          <w:rFonts w:ascii="仿宋_GB2312" w:hAnsi="仿宋_GB2312" w:eastAsia="仿宋_GB2312"/>
          <w:b w:val="0"/>
          <w:sz w:val="28"/>
          <w:highlight w:val="none"/>
        </w:rPr>
        <w:t>（四）资料责任</w:t>
      </w:r>
    </w:p>
    <w:p w14:paraId="2291439A">
      <w:pPr>
        <w:spacing w:line="336" w:lineRule="auto"/>
        <w:ind w:firstLine="560"/>
        <w:rPr>
          <w:highlight w:val="none"/>
        </w:rPr>
      </w:pPr>
      <w:r>
        <w:rPr>
          <w:rFonts w:ascii="仿宋_GB2312" w:hAnsi="仿宋_GB2312" w:eastAsia="仿宋_GB2312"/>
          <w:b w:val="0"/>
          <w:sz w:val="28"/>
          <w:highlight w:val="none"/>
        </w:rPr>
        <w:t>采购人负责提供审计期间的相关制度文件、会议记录、检查底稿、报送材料、风险事件记录及财务资料。对确实缺失、损毁或无法取得的资料，审计机构须在报告中专项说明缺失范围、原因及其对审计结论的影响程度，不得以资料不完整为由拒绝出具审计结论或自行缩减审计范围。</w:t>
      </w:r>
    </w:p>
    <w:p w14:paraId="3545FE9D">
      <w:pPr>
        <w:spacing w:line="336" w:lineRule="auto"/>
        <w:ind w:firstLine="560"/>
        <w:rPr>
          <w:highlight w:val="none"/>
        </w:rPr>
      </w:pPr>
      <w:r>
        <w:rPr>
          <w:rFonts w:ascii="仿宋_GB2312" w:hAnsi="仿宋_GB2312" w:eastAsia="仿宋_GB2312"/>
          <w:b w:val="0"/>
          <w:sz w:val="28"/>
          <w:highlight w:val="none"/>
        </w:rPr>
        <w:t>（五）保密要求</w:t>
      </w:r>
    </w:p>
    <w:p w14:paraId="63BC7859">
      <w:pPr>
        <w:spacing w:line="336" w:lineRule="auto"/>
        <w:ind w:firstLine="560"/>
        <w:rPr>
          <w:highlight w:val="none"/>
        </w:rPr>
      </w:pPr>
      <w:r>
        <w:rPr>
          <w:rFonts w:ascii="仿宋_GB2312" w:hAnsi="仿宋_GB2312" w:eastAsia="仿宋_GB2312"/>
          <w:b w:val="0"/>
          <w:sz w:val="28"/>
          <w:highlight w:val="none"/>
        </w:rPr>
        <w:t>审计机构及其人员对审计过程中知悉的公司经营信息、客户信息及个人信息负有保密义务，未经采购人书面同意不得向任何第三方披露，保密义务在合同终止后继续有效。</w:t>
      </w:r>
    </w:p>
    <w:p w14:paraId="5CD98E85">
      <w:pPr>
        <w:spacing w:before="200" w:after="80"/>
        <w:rPr>
          <w:highlight w:val="none"/>
        </w:rPr>
      </w:pPr>
      <w:r>
        <w:rPr>
          <w:rFonts w:ascii="黑体" w:hAnsi="黑体" w:eastAsia="黑体"/>
          <w:b w:val="0"/>
          <w:sz w:val="28"/>
          <w:highlight w:val="none"/>
        </w:rPr>
        <w:t>五、服务期限与成果交付</w:t>
      </w:r>
    </w:p>
    <w:p w14:paraId="5F0D5D52">
      <w:pPr>
        <w:spacing w:line="336" w:lineRule="auto"/>
        <w:ind w:firstLine="560"/>
        <w:rPr>
          <w:highlight w:val="none"/>
        </w:rPr>
      </w:pPr>
      <w:r>
        <w:rPr>
          <w:rFonts w:ascii="仿宋_GB2312" w:hAnsi="仿宋_GB2312" w:eastAsia="仿宋_GB2312"/>
          <w:b w:val="0"/>
          <w:sz w:val="28"/>
          <w:highlight w:val="none"/>
        </w:rPr>
        <w:t>合同签订后5个工作日内进场，进场后【</w:t>
      </w:r>
      <w:r>
        <w:rPr>
          <w:rFonts w:hint="eastAsia"/>
          <w:b w:val="0"/>
          <w:sz w:val="28"/>
          <w:highlight w:val="none"/>
          <w:lang w:val="en-US" w:eastAsia="zh-CN"/>
        </w:rPr>
        <w:t>30</w:t>
      </w:r>
      <w:r>
        <w:rPr>
          <w:rFonts w:ascii="仿宋_GB2312" w:hAnsi="仿宋_GB2312" w:eastAsia="仿宋_GB2312"/>
          <w:b w:val="0"/>
          <w:sz w:val="28"/>
          <w:highlight w:val="none"/>
        </w:rPr>
        <w:t>】个自然日内出具正式报告。成果包括：</w:t>
      </w:r>
    </w:p>
    <w:p w14:paraId="307EF33A">
      <w:pPr>
        <w:spacing w:line="336" w:lineRule="auto"/>
        <w:ind w:firstLine="560"/>
        <w:rPr>
          <w:highlight w:val="none"/>
        </w:rPr>
      </w:pPr>
      <w:r>
        <w:rPr>
          <w:rFonts w:ascii="仿宋_GB2312" w:hAnsi="仿宋_GB2312" w:eastAsia="仿宋_GB2312"/>
          <w:b w:val="0"/>
          <w:sz w:val="28"/>
          <w:highlight w:val="none"/>
        </w:rPr>
        <w:t>（一）审计报告（正式文本一式【6】份及电子文档）；</w:t>
      </w:r>
    </w:p>
    <w:p w14:paraId="3B7BCCB6">
      <w:pPr>
        <w:spacing w:line="336" w:lineRule="auto"/>
        <w:ind w:firstLine="560"/>
        <w:rPr>
          <w:highlight w:val="none"/>
        </w:rPr>
      </w:pPr>
      <w:r>
        <w:rPr>
          <w:rFonts w:ascii="仿宋_GB2312" w:hAnsi="仿宋_GB2312" w:eastAsia="仿宋_GB2312"/>
          <w:b w:val="0"/>
          <w:sz w:val="28"/>
          <w:highlight w:val="none"/>
        </w:rPr>
        <w:t>（二）问题清单（逐项列明事实、依据、金额或影响、责任认定）；</w:t>
      </w:r>
    </w:p>
    <w:p w14:paraId="783DDD39">
      <w:pPr>
        <w:spacing w:line="336" w:lineRule="auto"/>
        <w:ind w:firstLine="560"/>
        <w:rPr>
          <w:highlight w:val="none"/>
        </w:rPr>
      </w:pPr>
      <w:r>
        <w:rPr>
          <w:rFonts w:ascii="仿宋_GB2312" w:hAnsi="仿宋_GB2312" w:eastAsia="仿宋_GB2312"/>
          <w:b w:val="0"/>
          <w:sz w:val="28"/>
          <w:highlight w:val="none"/>
        </w:rPr>
        <w:t>（三）《跨期遗留事项清单》</w:t>
      </w:r>
      <w:r>
        <w:rPr>
          <w:rFonts w:hint="eastAsia"/>
          <w:b w:val="0"/>
          <w:sz w:val="28"/>
          <w:highlight w:val="none"/>
          <w:lang w:eastAsia="zh-CN"/>
        </w:rPr>
        <w:t>（</w:t>
      </w:r>
      <w:r>
        <w:rPr>
          <w:rFonts w:hint="eastAsia"/>
          <w:b w:val="0"/>
          <w:sz w:val="28"/>
          <w:highlight w:val="none"/>
          <w:lang w:val="en-US" w:eastAsia="zh-CN"/>
        </w:rPr>
        <w:t>如有）</w:t>
      </w:r>
      <w:r>
        <w:rPr>
          <w:rFonts w:ascii="仿宋_GB2312" w:hAnsi="仿宋_GB2312" w:eastAsia="仿宋_GB2312"/>
          <w:b w:val="0"/>
          <w:sz w:val="28"/>
          <w:highlight w:val="none"/>
        </w:rPr>
        <w:t>；</w:t>
      </w:r>
    </w:p>
    <w:p w14:paraId="0A5EF657">
      <w:pPr>
        <w:spacing w:line="336" w:lineRule="auto"/>
        <w:ind w:firstLine="560"/>
        <w:rPr>
          <w:highlight w:val="none"/>
        </w:rPr>
      </w:pPr>
      <w:r>
        <w:rPr>
          <w:rFonts w:ascii="仿宋_GB2312" w:hAnsi="仿宋_GB2312" w:eastAsia="仿宋_GB2312"/>
          <w:b w:val="0"/>
          <w:sz w:val="28"/>
          <w:highlight w:val="none"/>
        </w:rPr>
        <w:t>（四）整改建议。</w:t>
      </w:r>
    </w:p>
    <w:p w14:paraId="563431B4">
      <w:pPr>
        <w:spacing w:before="200" w:after="80"/>
        <w:rPr>
          <w:highlight w:val="none"/>
        </w:rPr>
      </w:pPr>
      <w:r>
        <w:rPr>
          <w:rFonts w:ascii="黑体" w:hAnsi="黑体" w:eastAsia="黑体"/>
          <w:b w:val="0"/>
          <w:sz w:val="28"/>
          <w:highlight w:val="none"/>
        </w:rPr>
        <w:t>六、供应商资格要求</w:t>
      </w:r>
    </w:p>
    <w:p w14:paraId="09B47C3A">
      <w:pPr>
        <w:spacing w:line="336" w:lineRule="auto"/>
        <w:ind w:firstLine="560"/>
        <w:rPr>
          <w:highlight w:val="none"/>
        </w:rPr>
      </w:pPr>
      <w:r>
        <w:rPr>
          <w:rFonts w:ascii="仿宋_GB2312" w:hAnsi="仿宋_GB2312" w:eastAsia="仿宋_GB2312"/>
          <w:b w:val="0"/>
          <w:sz w:val="28"/>
          <w:highlight w:val="none"/>
        </w:rPr>
        <w:t>下列各项为实质性资格条件，任何一项不符合的，其响应文件不进入评审。</w:t>
      </w:r>
    </w:p>
    <w:p w14:paraId="4060E584">
      <w:pPr>
        <w:spacing w:line="336" w:lineRule="auto"/>
        <w:ind w:firstLine="560"/>
        <w:rPr>
          <w:highlight w:val="none"/>
        </w:rPr>
      </w:pPr>
      <w:r>
        <w:rPr>
          <w:rFonts w:ascii="仿宋_GB2312" w:hAnsi="仿宋_GB2312" w:eastAsia="仿宋_GB2312"/>
          <w:b w:val="0"/>
          <w:sz w:val="28"/>
          <w:highlight w:val="none"/>
        </w:rPr>
        <w:t>（一）在中华人民共和国境内依法设立，持有有效的《会计师事务所执业证书》；</w:t>
      </w:r>
    </w:p>
    <w:p w14:paraId="5DB27531">
      <w:pPr>
        <w:spacing w:line="336" w:lineRule="auto"/>
        <w:ind w:firstLine="560"/>
        <w:rPr>
          <w:highlight w:val="none"/>
        </w:rPr>
      </w:pPr>
      <w:r>
        <w:rPr>
          <w:rFonts w:ascii="仿宋_GB2312" w:hAnsi="仿宋_GB2312" w:eastAsia="仿宋_GB2312"/>
          <w:b w:val="0"/>
          <w:sz w:val="28"/>
          <w:highlight w:val="none"/>
        </w:rPr>
        <w:t>（二）具有健全的财务会计制度，具备履行本项目合同所必需的专业能力；</w:t>
      </w:r>
    </w:p>
    <w:p w14:paraId="57B1D854">
      <w:pPr>
        <w:spacing w:line="336" w:lineRule="auto"/>
        <w:ind w:firstLine="560"/>
        <w:rPr>
          <w:highlight w:val="none"/>
        </w:rPr>
      </w:pPr>
      <w:r>
        <w:rPr>
          <w:rFonts w:ascii="仿宋_GB2312" w:hAnsi="仿宋_GB2312" w:eastAsia="仿宋_GB2312"/>
          <w:b w:val="0"/>
          <w:sz w:val="28"/>
          <w:highlight w:val="none"/>
        </w:rPr>
        <w:t>（三）近3年内承接过经济责任审计或高级管理人员离任审计项目不少于2个，须提供合同复印件（涉密内容可遮蔽）；</w:t>
      </w:r>
    </w:p>
    <w:p w14:paraId="5025370C">
      <w:pPr>
        <w:spacing w:line="336" w:lineRule="auto"/>
        <w:ind w:firstLine="560"/>
        <w:rPr>
          <w:highlight w:val="none"/>
        </w:rPr>
      </w:pPr>
      <w:r>
        <w:rPr>
          <w:rFonts w:ascii="仿宋_GB2312" w:hAnsi="仿宋_GB2312" w:eastAsia="仿宋_GB2312"/>
          <w:b w:val="0"/>
          <w:sz w:val="28"/>
          <w:highlight w:val="none"/>
        </w:rPr>
        <w:t>（四）拟派项目负责人须为中国注册会计师，执业满5年以上，且主持过上述类型项目；</w:t>
      </w:r>
    </w:p>
    <w:p w14:paraId="3144710F">
      <w:pPr>
        <w:spacing w:line="336" w:lineRule="auto"/>
        <w:ind w:firstLine="560"/>
        <w:rPr>
          <w:highlight w:val="none"/>
        </w:rPr>
      </w:pPr>
      <w:r>
        <w:rPr>
          <w:rFonts w:ascii="仿宋_GB2312" w:hAnsi="仿宋_GB2312" w:eastAsia="仿宋_GB2312"/>
          <w:b w:val="0"/>
          <w:sz w:val="28"/>
          <w:highlight w:val="none"/>
        </w:rPr>
        <w:t>（五）近3年内在经营活动中无重大违法记录，未受到财政部门、证券监督管理机构或注册会计师协会的行政处罚及行业惩戒；</w:t>
      </w:r>
    </w:p>
    <w:p w14:paraId="2219378E">
      <w:pPr>
        <w:spacing w:line="336" w:lineRule="auto"/>
        <w:ind w:firstLine="560"/>
        <w:rPr>
          <w:highlight w:val="none"/>
        </w:rPr>
      </w:pPr>
      <w:r>
        <w:rPr>
          <w:rFonts w:ascii="仿宋_GB2312" w:hAnsi="仿宋_GB2312" w:eastAsia="仿宋_GB2312"/>
          <w:b w:val="0"/>
          <w:sz w:val="28"/>
          <w:highlight w:val="none"/>
        </w:rPr>
        <w:t>（六）近3年为本公司提供过财务外包、代理记账、内部控制咨询服务的机构，以及与被审计人存在关联关系的机构，不得参与本项目；</w:t>
      </w:r>
    </w:p>
    <w:p w14:paraId="0EF20F6F">
      <w:pPr>
        <w:spacing w:line="336" w:lineRule="auto"/>
        <w:ind w:firstLine="560"/>
        <w:rPr>
          <w:highlight w:val="none"/>
        </w:rPr>
      </w:pPr>
      <w:r>
        <w:rPr>
          <w:rFonts w:ascii="仿宋_GB2312" w:hAnsi="仿宋_GB2312" w:eastAsia="仿宋_GB2312"/>
          <w:b w:val="0"/>
          <w:sz w:val="28"/>
          <w:highlight w:val="none"/>
        </w:rPr>
        <w:t>（七）本项目不接受联合体响应，不接受分包、转包。</w:t>
      </w:r>
    </w:p>
    <w:p w14:paraId="3D3D1CA8">
      <w:pPr>
        <w:spacing w:before="200" w:after="80"/>
        <w:rPr>
          <w:highlight w:val="none"/>
        </w:rPr>
      </w:pPr>
      <w:r>
        <w:rPr>
          <w:rFonts w:ascii="黑体" w:hAnsi="黑体" w:eastAsia="黑体"/>
          <w:b w:val="0"/>
          <w:sz w:val="28"/>
          <w:highlight w:val="none"/>
        </w:rPr>
        <w:t>七、响应文件的组成</w:t>
      </w:r>
    </w:p>
    <w:p w14:paraId="702B5CA5">
      <w:pPr>
        <w:spacing w:line="336" w:lineRule="auto"/>
        <w:ind w:firstLine="560"/>
        <w:rPr>
          <w:highlight w:val="none"/>
        </w:rPr>
      </w:pPr>
      <w:r>
        <w:rPr>
          <w:rFonts w:ascii="仿宋_GB2312" w:hAnsi="仿宋_GB2312" w:eastAsia="仿宋_GB2312"/>
          <w:b w:val="0"/>
          <w:sz w:val="28"/>
          <w:highlight w:val="none"/>
        </w:rPr>
        <w:t>响应文件应包括下列内容，并按此顺序编排、编制目录及页码：</w:t>
      </w:r>
    </w:p>
    <w:p w14:paraId="777CF14B">
      <w:pPr>
        <w:spacing w:line="336" w:lineRule="auto"/>
        <w:ind w:firstLine="560"/>
        <w:rPr>
          <w:highlight w:val="none"/>
        </w:rPr>
      </w:pPr>
      <w:r>
        <w:rPr>
          <w:rFonts w:ascii="仿宋_GB2312" w:hAnsi="仿宋_GB2312" w:eastAsia="仿宋_GB2312"/>
          <w:b w:val="0"/>
          <w:sz w:val="28"/>
          <w:highlight w:val="none"/>
        </w:rPr>
        <w:t>（一）响应函（格式见附件一）；</w:t>
      </w:r>
    </w:p>
    <w:p w14:paraId="6132919C">
      <w:pPr>
        <w:spacing w:line="336" w:lineRule="auto"/>
        <w:ind w:firstLine="560"/>
        <w:rPr>
          <w:highlight w:val="none"/>
        </w:rPr>
      </w:pPr>
      <w:r>
        <w:rPr>
          <w:rFonts w:ascii="仿宋_GB2312" w:hAnsi="仿宋_GB2312" w:eastAsia="仿宋_GB2312"/>
          <w:b w:val="0"/>
          <w:sz w:val="28"/>
          <w:highlight w:val="none"/>
        </w:rPr>
        <w:t>（二）法定代表人授权委托书及被授权人身份证明；</w:t>
      </w:r>
    </w:p>
    <w:p w14:paraId="525870D2">
      <w:pPr>
        <w:spacing w:line="336" w:lineRule="auto"/>
        <w:ind w:firstLine="560"/>
        <w:rPr>
          <w:highlight w:val="none"/>
        </w:rPr>
      </w:pPr>
      <w:r>
        <w:rPr>
          <w:rFonts w:ascii="仿宋_GB2312" w:hAnsi="仿宋_GB2312" w:eastAsia="仿宋_GB2312"/>
          <w:b w:val="0"/>
          <w:sz w:val="28"/>
          <w:highlight w:val="none"/>
        </w:rPr>
        <w:t>（三）营业执照、会计师事务所执业证书复印件（加盖公章）；</w:t>
      </w:r>
    </w:p>
    <w:p w14:paraId="2D5C9D51">
      <w:pPr>
        <w:spacing w:line="336" w:lineRule="auto"/>
        <w:ind w:firstLine="560"/>
        <w:rPr>
          <w:highlight w:val="none"/>
        </w:rPr>
      </w:pPr>
      <w:r>
        <w:rPr>
          <w:rFonts w:ascii="仿宋_GB2312" w:hAnsi="仿宋_GB2312" w:eastAsia="仿宋_GB2312"/>
          <w:b w:val="0"/>
          <w:sz w:val="28"/>
          <w:highlight w:val="none"/>
        </w:rPr>
        <w:t>（四）类似项目业绩清单及合同复印件（格式见附件二）；</w:t>
      </w:r>
    </w:p>
    <w:p w14:paraId="15FD8C2B">
      <w:pPr>
        <w:spacing w:line="336" w:lineRule="auto"/>
        <w:ind w:firstLine="560"/>
        <w:rPr>
          <w:highlight w:val="none"/>
        </w:rPr>
      </w:pPr>
      <w:r>
        <w:rPr>
          <w:rFonts w:ascii="仿宋_GB2312" w:hAnsi="仿宋_GB2312" w:eastAsia="仿宋_GB2312"/>
          <w:b w:val="0"/>
          <w:sz w:val="28"/>
          <w:highlight w:val="none"/>
        </w:rPr>
        <w:t>（五）拟派项目组人员配置表及执业证书、简历（格式见附件三）；</w:t>
      </w:r>
    </w:p>
    <w:p w14:paraId="16399057">
      <w:pPr>
        <w:spacing w:line="336" w:lineRule="auto"/>
        <w:ind w:firstLine="560"/>
        <w:rPr>
          <w:highlight w:val="none"/>
        </w:rPr>
      </w:pPr>
      <w:r>
        <w:rPr>
          <w:rFonts w:ascii="仿宋_GB2312" w:hAnsi="仿宋_GB2312" w:eastAsia="仿宋_GB2312"/>
          <w:b w:val="0"/>
          <w:sz w:val="28"/>
          <w:highlight w:val="none"/>
        </w:rPr>
        <w:t>（六）审计工作方案；</w:t>
      </w:r>
    </w:p>
    <w:p w14:paraId="4BC0D249">
      <w:pPr>
        <w:spacing w:line="336" w:lineRule="auto"/>
        <w:ind w:firstLine="560"/>
        <w:rPr>
          <w:highlight w:val="none"/>
        </w:rPr>
      </w:pPr>
      <w:r>
        <w:rPr>
          <w:rFonts w:ascii="仿宋_GB2312" w:hAnsi="仿宋_GB2312" w:eastAsia="仿宋_GB2312"/>
          <w:b w:val="0"/>
          <w:sz w:val="28"/>
          <w:highlight w:val="none"/>
        </w:rPr>
        <w:t>（七）报价表（格式见附件四）；</w:t>
      </w:r>
    </w:p>
    <w:p w14:paraId="265F871A">
      <w:pPr>
        <w:spacing w:line="336" w:lineRule="auto"/>
        <w:ind w:firstLine="560"/>
        <w:rPr>
          <w:highlight w:val="none"/>
        </w:rPr>
      </w:pPr>
      <w:r>
        <w:rPr>
          <w:rFonts w:ascii="仿宋_GB2312" w:hAnsi="仿宋_GB2312" w:eastAsia="仿宋_GB2312"/>
          <w:b w:val="0"/>
          <w:sz w:val="28"/>
          <w:highlight w:val="none"/>
        </w:rPr>
        <w:t>（八）无重大违法记录及独立性承诺函（格式见附件五）。</w:t>
      </w:r>
    </w:p>
    <w:p w14:paraId="2C5023E5">
      <w:pPr>
        <w:spacing w:line="336" w:lineRule="auto"/>
        <w:ind w:firstLine="560"/>
        <w:rPr>
          <w:highlight w:val="none"/>
        </w:rPr>
      </w:pPr>
      <w:r>
        <w:rPr>
          <w:rFonts w:ascii="仿宋_GB2312" w:hAnsi="仿宋_GB2312" w:eastAsia="仿宋_GB2312"/>
          <w:b w:val="0"/>
          <w:sz w:val="28"/>
          <w:highlight w:val="none"/>
        </w:rPr>
        <w:t>审计工作方案为符合性文件，不计入评分，但缺少或内容明显不完整的，视为响应文件不完整，不进入评审。该方案应至少说明：审计范围的理解、审计方法与抽样安排、实施计划与时间节点、质量控制安排、成果形式。</w:t>
      </w:r>
    </w:p>
    <w:p w14:paraId="6C0F49B0">
      <w:pPr>
        <w:spacing w:before="200" w:after="80"/>
        <w:rPr>
          <w:highlight w:val="none"/>
        </w:rPr>
      </w:pPr>
      <w:r>
        <w:rPr>
          <w:rFonts w:ascii="黑体" w:hAnsi="黑体" w:eastAsia="黑体"/>
          <w:b w:val="0"/>
          <w:sz w:val="28"/>
          <w:highlight w:val="none"/>
        </w:rPr>
        <w:t>八、获取补充资料、答疑与响应文件递交</w:t>
      </w:r>
    </w:p>
    <w:p w14:paraId="2DF0C031">
      <w:pPr>
        <w:spacing w:line="336" w:lineRule="auto"/>
        <w:ind w:firstLine="560"/>
        <w:rPr>
          <w:highlight w:val="none"/>
        </w:rPr>
      </w:pPr>
      <w:r>
        <w:rPr>
          <w:rFonts w:ascii="仿宋_GB2312" w:hAnsi="仿宋_GB2312" w:eastAsia="仿宋_GB2312"/>
          <w:b w:val="0"/>
          <w:sz w:val="28"/>
          <w:highlight w:val="none"/>
        </w:rPr>
        <w:t>（一）有意参与的供应商请于</w:t>
      </w:r>
      <w:r>
        <w:rPr>
          <w:rFonts w:ascii="仿宋_GB2312" w:hAnsi="仿宋_GB2312" w:eastAsia="仿宋_GB2312"/>
          <w:b w:val="0"/>
          <w:sz w:val="28"/>
          <w:highlight w:val="none"/>
        </w:rPr>
        <w:t>2026年8月</w:t>
      </w:r>
      <w:r>
        <w:rPr>
          <w:rFonts w:hint="eastAsia"/>
          <w:b w:val="0"/>
          <w:sz w:val="28"/>
          <w:highlight w:val="none"/>
          <w:lang w:val="en-US" w:eastAsia="zh-CN"/>
        </w:rPr>
        <w:t>20</w:t>
      </w:r>
      <w:r>
        <w:rPr>
          <w:rFonts w:ascii="仿宋_GB2312" w:hAnsi="仿宋_GB2312" w:eastAsia="仿宋_GB2312"/>
          <w:b w:val="0"/>
          <w:sz w:val="28"/>
          <w:highlight w:val="none"/>
        </w:rPr>
        <w:t>日17:00</w:t>
      </w:r>
      <w:r>
        <w:rPr>
          <w:rFonts w:ascii="仿宋_GB2312" w:hAnsi="仿宋_GB2312" w:eastAsia="仿宋_GB2312"/>
          <w:b w:val="0"/>
          <w:sz w:val="28"/>
          <w:highlight w:val="none"/>
        </w:rPr>
        <w:t>前，通过电子邮件向本公告所列联系人提交参与意向，并注明单位名称、联系人及联系方式。采购人收到后于1个工作日内提供审计期间起止日期等补充资料。</w:t>
      </w:r>
    </w:p>
    <w:p w14:paraId="1ED55B76">
      <w:pPr>
        <w:spacing w:line="336" w:lineRule="auto"/>
        <w:ind w:firstLine="560"/>
        <w:rPr>
          <w:highlight w:val="none"/>
        </w:rPr>
      </w:pPr>
      <w:r>
        <w:rPr>
          <w:rFonts w:ascii="仿宋_GB2312" w:hAnsi="仿宋_GB2312" w:eastAsia="仿宋_GB2312"/>
          <w:b w:val="0"/>
          <w:sz w:val="28"/>
          <w:highlight w:val="none"/>
        </w:rPr>
        <w:t>（二）对本公告的疑问，请于</w:t>
      </w:r>
      <w:r>
        <w:rPr>
          <w:rFonts w:ascii="仿宋_GB2312" w:hAnsi="仿宋_GB2312" w:eastAsia="仿宋_GB2312"/>
          <w:b w:val="0"/>
          <w:sz w:val="28"/>
          <w:highlight w:val="none"/>
        </w:rPr>
        <w:t>2026年8月</w:t>
      </w:r>
      <w:r>
        <w:rPr>
          <w:rFonts w:hint="eastAsia"/>
          <w:b w:val="0"/>
          <w:sz w:val="28"/>
          <w:highlight w:val="none"/>
          <w:lang w:val="en-US" w:eastAsia="zh-CN"/>
        </w:rPr>
        <w:t>20</w:t>
      </w:r>
      <w:r>
        <w:rPr>
          <w:rFonts w:ascii="仿宋_GB2312" w:hAnsi="仿宋_GB2312" w:eastAsia="仿宋_GB2312"/>
          <w:b w:val="0"/>
          <w:sz w:val="28"/>
          <w:highlight w:val="none"/>
        </w:rPr>
        <w:t>日17:00</w:t>
      </w:r>
      <w:r>
        <w:rPr>
          <w:rFonts w:ascii="仿宋_GB2312" w:hAnsi="仿宋_GB2312" w:eastAsia="仿宋_GB2312"/>
          <w:b w:val="0"/>
          <w:sz w:val="28"/>
          <w:highlight w:val="none"/>
        </w:rPr>
        <w:t>前以书面形式提出，采购人统一书面答复全部已提交意向的供应商。</w:t>
      </w:r>
    </w:p>
    <w:p w14:paraId="23C7D563">
      <w:pPr>
        <w:spacing w:line="336" w:lineRule="auto"/>
        <w:ind w:firstLine="560"/>
        <w:rPr>
          <w:highlight w:val="none"/>
        </w:rPr>
      </w:pPr>
      <w:r>
        <w:rPr>
          <w:rFonts w:ascii="仿宋_GB2312" w:hAnsi="仿宋_GB2312" w:eastAsia="仿宋_GB2312"/>
          <w:b w:val="0"/>
          <w:sz w:val="28"/>
          <w:highlight w:val="none"/>
        </w:rPr>
        <w:t>（三）响应文件递交截止时间：</w:t>
      </w:r>
      <w:r>
        <w:rPr>
          <w:rFonts w:ascii="仿宋_GB2312" w:hAnsi="仿宋_GB2312" w:eastAsia="仿宋_GB2312"/>
          <w:b w:val="0"/>
          <w:sz w:val="28"/>
          <w:highlight w:val="none"/>
        </w:rPr>
        <w:t>2026年8月20日17:00</w:t>
      </w:r>
      <w:r>
        <w:rPr>
          <w:rFonts w:ascii="仿宋_GB2312" w:hAnsi="仿宋_GB2312" w:eastAsia="仿宋_GB2312"/>
          <w:b w:val="0"/>
          <w:sz w:val="28"/>
          <w:highlight w:val="none"/>
        </w:rPr>
        <w:t>（北京时间）。递交方式：【密封纸质件送达】。递交地点：【</w:t>
      </w:r>
      <w:r>
        <w:rPr>
          <w:rFonts w:hint="eastAsia"/>
          <w:b w:val="0"/>
          <w:sz w:val="28"/>
          <w:highlight w:val="none"/>
          <w:lang w:val="en-US" w:eastAsia="zh-CN"/>
        </w:rPr>
        <w:t>上海市浦东新区向城路288号国华人寿金融大厦5楼国盛期货</w:t>
      </w:r>
      <w:r>
        <w:rPr>
          <w:rFonts w:ascii="仿宋_GB2312" w:hAnsi="仿宋_GB2312" w:eastAsia="仿宋_GB2312"/>
          <w:b w:val="0"/>
          <w:sz w:val="28"/>
          <w:highlight w:val="none"/>
        </w:rPr>
        <w:t>】。逾期送达或未按要求密封的，不予受理。</w:t>
      </w:r>
    </w:p>
    <w:p w14:paraId="49705662">
      <w:pPr>
        <w:spacing w:line="336" w:lineRule="auto"/>
        <w:ind w:firstLine="560"/>
        <w:rPr>
          <w:highlight w:val="none"/>
        </w:rPr>
      </w:pPr>
      <w:r>
        <w:rPr>
          <w:rFonts w:ascii="仿宋_GB2312" w:hAnsi="仿宋_GB2312" w:eastAsia="仿宋_GB2312"/>
          <w:b w:val="0"/>
          <w:sz w:val="28"/>
          <w:highlight w:val="none"/>
        </w:rPr>
        <w:t>（四）资格审查与评审同步进行。供应商须在响应文件中一并提交本公告第六条所列的全部资格证明材料，未通过资格审查的，其响应文件不进入评审，不再另行通知。</w:t>
      </w:r>
    </w:p>
    <w:p w14:paraId="1F5731A9">
      <w:pPr>
        <w:spacing w:before="200" w:after="80"/>
        <w:rPr>
          <w:highlight w:val="none"/>
        </w:rPr>
      </w:pPr>
      <w:r>
        <w:rPr>
          <w:rFonts w:ascii="黑体" w:hAnsi="黑体" w:eastAsia="黑体"/>
          <w:b w:val="0"/>
          <w:sz w:val="28"/>
          <w:highlight w:val="none"/>
        </w:rPr>
        <w:t>九、评审办法</w:t>
      </w:r>
    </w:p>
    <w:p w14:paraId="7ACE97D2">
      <w:pPr>
        <w:spacing w:line="336" w:lineRule="auto"/>
        <w:ind w:firstLine="560"/>
        <w:rPr>
          <w:highlight w:val="none"/>
        </w:rPr>
      </w:pPr>
      <w:r>
        <w:rPr>
          <w:rFonts w:ascii="仿宋_GB2312" w:hAnsi="仿宋_GB2312" w:eastAsia="仿宋_GB2312"/>
          <w:b w:val="0"/>
          <w:sz w:val="28"/>
          <w:highlight w:val="none"/>
        </w:rPr>
        <w:t>（一）评审方式</w:t>
      </w:r>
    </w:p>
    <w:p w14:paraId="284182B6">
      <w:pPr>
        <w:spacing w:line="336" w:lineRule="auto"/>
        <w:ind w:firstLine="560"/>
        <w:rPr>
          <w:highlight w:val="none"/>
        </w:rPr>
      </w:pPr>
      <w:r>
        <w:rPr>
          <w:rFonts w:ascii="仿宋_GB2312" w:hAnsi="仿宋_GB2312" w:eastAsia="仿宋_GB2312"/>
          <w:b w:val="0"/>
          <w:sz w:val="28"/>
          <w:highlight w:val="none"/>
        </w:rPr>
        <w:t>采用综合评分法，满分100分。由采购人组建谈判小组进行评审，谈判小组成员不少于【5】人。与被审计人存在管理、隶属或其他利害关系的人员不得进入谈判小组。</w:t>
      </w:r>
    </w:p>
    <w:p w14:paraId="5AC9AE53">
      <w:pPr>
        <w:spacing w:line="336" w:lineRule="auto"/>
        <w:ind w:firstLine="560"/>
        <w:rPr>
          <w:highlight w:val="none"/>
        </w:rPr>
      </w:pPr>
      <w:r>
        <w:rPr>
          <w:rFonts w:ascii="仿宋_GB2312" w:hAnsi="仿宋_GB2312" w:eastAsia="仿宋_GB2312"/>
          <w:b w:val="0"/>
          <w:sz w:val="28"/>
          <w:highlight w:val="none"/>
        </w:rPr>
        <w:t>本项目全部评分项均按客观标准计算，谈判小组不作主观评价。</w:t>
      </w:r>
    </w:p>
    <w:p w14:paraId="79374629">
      <w:pPr>
        <w:spacing w:line="336" w:lineRule="auto"/>
        <w:ind w:firstLine="560"/>
        <w:rPr>
          <w:highlight w:val="none"/>
        </w:rPr>
      </w:pPr>
      <w:r>
        <w:rPr>
          <w:rFonts w:ascii="仿宋_GB2312" w:hAnsi="仿宋_GB2312" w:eastAsia="仿宋_GB2312"/>
          <w:b w:val="0"/>
          <w:sz w:val="28"/>
          <w:highlight w:val="none"/>
        </w:rPr>
        <w:t>（二）评分构成</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2"/>
        <w:gridCol w:w="2268"/>
      </w:tblGrid>
      <w:tr w14:paraId="77E7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2" w:type="dxa"/>
          </w:tcPr>
          <w:p w14:paraId="5A29B53D">
            <w:pPr>
              <w:spacing w:after="0" w:line="264" w:lineRule="auto"/>
              <w:jc w:val="center"/>
              <w:rPr>
                <w:highlight w:val="none"/>
              </w:rPr>
            </w:pPr>
            <w:r>
              <w:rPr>
                <w:rFonts w:ascii="黑体" w:hAnsi="黑体" w:eastAsia="黑体"/>
                <w:b w:val="0"/>
                <w:sz w:val="22"/>
                <w:highlight w:val="none"/>
              </w:rPr>
              <w:t>评分项</w:t>
            </w:r>
          </w:p>
        </w:tc>
        <w:tc>
          <w:tcPr>
            <w:tcW w:w="2268" w:type="dxa"/>
          </w:tcPr>
          <w:p w14:paraId="10BACC16">
            <w:pPr>
              <w:spacing w:after="0" w:line="264" w:lineRule="auto"/>
              <w:jc w:val="center"/>
              <w:rPr>
                <w:highlight w:val="none"/>
              </w:rPr>
            </w:pPr>
            <w:r>
              <w:rPr>
                <w:rFonts w:ascii="黑体" w:hAnsi="黑体" w:eastAsia="黑体"/>
                <w:b w:val="0"/>
                <w:sz w:val="22"/>
                <w:highlight w:val="none"/>
              </w:rPr>
              <w:t>分值</w:t>
            </w:r>
          </w:p>
        </w:tc>
      </w:tr>
      <w:tr w14:paraId="3C6A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2" w:type="dxa"/>
          </w:tcPr>
          <w:p w14:paraId="3F4828BA">
            <w:pPr>
              <w:spacing w:after="0" w:line="264" w:lineRule="auto"/>
              <w:jc w:val="center"/>
              <w:rPr>
                <w:highlight w:val="none"/>
              </w:rPr>
            </w:pPr>
            <w:r>
              <w:rPr>
                <w:rFonts w:ascii="仿宋_GB2312" w:hAnsi="仿宋_GB2312" w:eastAsia="仿宋_GB2312"/>
                <w:b w:val="0"/>
                <w:sz w:val="22"/>
                <w:highlight w:val="none"/>
              </w:rPr>
              <w:t>商务报价</w:t>
            </w:r>
          </w:p>
        </w:tc>
        <w:tc>
          <w:tcPr>
            <w:tcW w:w="2268" w:type="dxa"/>
          </w:tcPr>
          <w:p w14:paraId="3CE10B71">
            <w:pPr>
              <w:spacing w:after="0" w:line="264" w:lineRule="auto"/>
              <w:jc w:val="center"/>
              <w:rPr>
                <w:highlight w:val="none"/>
              </w:rPr>
            </w:pPr>
            <w:r>
              <w:rPr>
                <w:rFonts w:ascii="仿宋_GB2312" w:hAnsi="仿宋_GB2312" w:eastAsia="仿宋_GB2312"/>
                <w:b w:val="0"/>
                <w:sz w:val="22"/>
                <w:highlight w:val="none"/>
              </w:rPr>
              <w:t>50</w:t>
            </w:r>
          </w:p>
        </w:tc>
      </w:tr>
      <w:tr w14:paraId="091D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2" w:type="dxa"/>
          </w:tcPr>
          <w:p w14:paraId="2442C19B">
            <w:pPr>
              <w:spacing w:after="0" w:line="264" w:lineRule="auto"/>
              <w:jc w:val="center"/>
              <w:rPr>
                <w:highlight w:val="none"/>
              </w:rPr>
            </w:pPr>
            <w:r>
              <w:rPr>
                <w:rFonts w:ascii="仿宋_GB2312" w:hAnsi="仿宋_GB2312" w:eastAsia="仿宋_GB2312"/>
                <w:b w:val="0"/>
                <w:sz w:val="22"/>
                <w:highlight w:val="none"/>
              </w:rPr>
              <w:t>类似项目经验</w:t>
            </w:r>
          </w:p>
        </w:tc>
        <w:tc>
          <w:tcPr>
            <w:tcW w:w="2268" w:type="dxa"/>
          </w:tcPr>
          <w:p w14:paraId="1E40BDF8">
            <w:pPr>
              <w:spacing w:after="0" w:line="264" w:lineRule="auto"/>
              <w:jc w:val="center"/>
              <w:rPr>
                <w:highlight w:val="none"/>
              </w:rPr>
            </w:pPr>
            <w:r>
              <w:rPr>
                <w:rFonts w:ascii="仿宋_GB2312" w:hAnsi="仿宋_GB2312" w:eastAsia="仿宋_GB2312"/>
                <w:b w:val="0"/>
                <w:sz w:val="22"/>
                <w:highlight w:val="none"/>
              </w:rPr>
              <w:t>35</w:t>
            </w:r>
          </w:p>
        </w:tc>
      </w:tr>
      <w:tr w14:paraId="18EC1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2" w:type="dxa"/>
          </w:tcPr>
          <w:p w14:paraId="006C56C5">
            <w:pPr>
              <w:spacing w:after="0" w:line="264" w:lineRule="auto"/>
              <w:jc w:val="center"/>
              <w:rPr>
                <w:highlight w:val="none"/>
              </w:rPr>
            </w:pPr>
            <w:r>
              <w:rPr>
                <w:rFonts w:ascii="仿宋_GB2312" w:hAnsi="仿宋_GB2312" w:eastAsia="仿宋_GB2312"/>
                <w:b w:val="0"/>
                <w:sz w:val="22"/>
                <w:highlight w:val="none"/>
              </w:rPr>
              <w:t>项目团队</w:t>
            </w:r>
          </w:p>
        </w:tc>
        <w:tc>
          <w:tcPr>
            <w:tcW w:w="2268" w:type="dxa"/>
          </w:tcPr>
          <w:p w14:paraId="6DB108D0">
            <w:pPr>
              <w:spacing w:after="0" w:line="264" w:lineRule="auto"/>
              <w:jc w:val="center"/>
              <w:rPr>
                <w:highlight w:val="none"/>
              </w:rPr>
            </w:pPr>
            <w:r>
              <w:rPr>
                <w:rFonts w:ascii="仿宋_GB2312" w:hAnsi="仿宋_GB2312" w:eastAsia="仿宋_GB2312"/>
                <w:b w:val="0"/>
                <w:sz w:val="22"/>
                <w:highlight w:val="none"/>
              </w:rPr>
              <w:t>15</w:t>
            </w:r>
          </w:p>
        </w:tc>
      </w:tr>
      <w:tr w14:paraId="0EED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2" w:type="dxa"/>
          </w:tcPr>
          <w:p w14:paraId="169CBEA0">
            <w:pPr>
              <w:spacing w:after="0" w:line="264" w:lineRule="auto"/>
              <w:jc w:val="center"/>
              <w:rPr>
                <w:highlight w:val="none"/>
              </w:rPr>
            </w:pPr>
            <w:r>
              <w:rPr>
                <w:rFonts w:ascii="仿宋_GB2312" w:hAnsi="仿宋_GB2312" w:eastAsia="仿宋_GB2312"/>
                <w:b w:val="0"/>
                <w:sz w:val="22"/>
                <w:highlight w:val="none"/>
              </w:rPr>
              <w:t>合计</w:t>
            </w:r>
          </w:p>
        </w:tc>
        <w:tc>
          <w:tcPr>
            <w:tcW w:w="2268" w:type="dxa"/>
          </w:tcPr>
          <w:p w14:paraId="25CEC0AE">
            <w:pPr>
              <w:spacing w:after="0" w:line="264" w:lineRule="auto"/>
              <w:jc w:val="center"/>
              <w:rPr>
                <w:highlight w:val="none"/>
              </w:rPr>
            </w:pPr>
            <w:r>
              <w:rPr>
                <w:rFonts w:ascii="仿宋_GB2312" w:hAnsi="仿宋_GB2312" w:eastAsia="仿宋_GB2312"/>
                <w:b w:val="0"/>
                <w:sz w:val="22"/>
                <w:highlight w:val="none"/>
              </w:rPr>
              <w:t>100</w:t>
            </w:r>
          </w:p>
        </w:tc>
      </w:tr>
    </w:tbl>
    <w:p w14:paraId="0AA1A749">
      <w:pPr>
        <w:rPr>
          <w:highlight w:val="none"/>
        </w:rPr>
      </w:pPr>
    </w:p>
    <w:p w14:paraId="4E756206">
      <w:pPr>
        <w:spacing w:line="336" w:lineRule="auto"/>
        <w:ind w:firstLine="560"/>
        <w:rPr>
          <w:highlight w:val="none"/>
        </w:rPr>
      </w:pPr>
      <w:r>
        <w:rPr>
          <w:rFonts w:ascii="仿宋_GB2312" w:hAnsi="仿宋_GB2312" w:eastAsia="仿宋_GB2312"/>
          <w:b w:val="0"/>
          <w:sz w:val="28"/>
          <w:highlight w:val="none"/>
        </w:rPr>
        <w:t>（三）商务报价（50分）</w:t>
      </w:r>
    </w:p>
    <w:p w14:paraId="4C1BE28A">
      <w:pPr>
        <w:spacing w:line="336" w:lineRule="auto"/>
        <w:ind w:firstLine="560"/>
        <w:rPr>
          <w:rFonts w:ascii="仿宋_GB2312" w:hAnsi="仿宋_GB2312" w:eastAsia="仿宋_GB2312"/>
          <w:b w:val="0"/>
          <w:sz w:val="28"/>
          <w:highlight w:val="none"/>
        </w:rPr>
      </w:pPr>
      <w:r>
        <w:rPr>
          <w:rFonts w:ascii="仿宋_GB2312" w:hAnsi="仿宋_GB2312" w:eastAsia="仿宋_GB2312"/>
          <w:b w:val="0"/>
          <w:sz w:val="28"/>
          <w:highlight w:val="none"/>
        </w:rPr>
        <w:t>价格分 =（所有有效响应中的最低报价 ÷ 本供应商报价）× 50，计算结果保留两位小数。</w:t>
      </w:r>
    </w:p>
    <w:p w14:paraId="77EF1339">
      <w:pPr>
        <w:spacing w:line="336" w:lineRule="auto"/>
        <w:ind w:firstLine="560"/>
        <w:rPr>
          <w:rFonts w:hint="default" w:ascii="仿宋_GB2312" w:hAnsi="仿宋_GB2312" w:eastAsia="仿宋_GB2312"/>
          <w:b/>
          <w:bCs/>
          <w:sz w:val="28"/>
          <w:highlight w:val="none"/>
          <w:lang w:val="en-US" w:eastAsia="zh-CN"/>
        </w:rPr>
      </w:pPr>
      <w:r>
        <w:rPr>
          <w:rFonts w:hint="eastAsia"/>
          <w:b/>
          <w:bCs/>
          <w:sz w:val="28"/>
          <w:highlight w:val="none"/>
          <w:lang w:val="en-US" w:eastAsia="zh-CN"/>
        </w:rPr>
        <w:t>本项目实行最高限价：报价超过20万元的无效。</w:t>
      </w:r>
    </w:p>
    <w:p w14:paraId="0DFD884B">
      <w:pPr>
        <w:spacing w:line="336" w:lineRule="auto"/>
        <w:ind w:firstLine="560"/>
        <w:rPr>
          <w:highlight w:val="none"/>
        </w:rPr>
      </w:pPr>
      <w:r>
        <w:rPr>
          <w:rFonts w:ascii="仿宋_GB2312" w:hAnsi="仿宋_GB2312" w:eastAsia="仿宋_GB2312"/>
          <w:b w:val="0"/>
          <w:sz w:val="28"/>
          <w:highlight w:val="none"/>
        </w:rPr>
        <w:t>报价应涵盖本公告全部审计期间及审计内容，包含人员费、差旅费、资料复制费及税费等一切费用。成交后不得以审计期间跨度大、资料量超出预期、需追溯核查、需增加分支机构现场工作等任何理由要求增加费用。</w:t>
      </w:r>
    </w:p>
    <w:p w14:paraId="6F35952D">
      <w:pPr>
        <w:spacing w:line="336" w:lineRule="auto"/>
        <w:ind w:firstLine="560"/>
        <w:rPr>
          <w:highlight w:val="none"/>
        </w:rPr>
      </w:pPr>
      <w:r>
        <w:rPr>
          <w:rFonts w:ascii="仿宋_GB2312" w:hAnsi="仿宋_GB2312" w:eastAsia="仿宋_GB2312"/>
          <w:b w:val="0"/>
          <w:sz w:val="28"/>
          <w:highlight w:val="none"/>
        </w:rPr>
        <w:t>（四）类似项目经验（35分）</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794"/>
        <w:gridCol w:w="5443"/>
      </w:tblGrid>
      <w:tr w14:paraId="491AB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7EB04619">
            <w:pPr>
              <w:spacing w:after="0" w:line="264" w:lineRule="auto"/>
              <w:jc w:val="center"/>
              <w:rPr>
                <w:highlight w:val="none"/>
              </w:rPr>
            </w:pPr>
            <w:r>
              <w:rPr>
                <w:rFonts w:ascii="黑体" w:hAnsi="黑体" w:eastAsia="黑体"/>
                <w:b w:val="0"/>
                <w:sz w:val="22"/>
                <w:highlight w:val="none"/>
              </w:rPr>
              <w:t>评分要素</w:t>
            </w:r>
          </w:p>
        </w:tc>
        <w:tc>
          <w:tcPr>
            <w:tcW w:w="794" w:type="dxa"/>
          </w:tcPr>
          <w:p w14:paraId="457C27AD">
            <w:pPr>
              <w:spacing w:after="0" w:line="264" w:lineRule="auto"/>
              <w:jc w:val="center"/>
              <w:rPr>
                <w:highlight w:val="none"/>
              </w:rPr>
            </w:pPr>
            <w:r>
              <w:rPr>
                <w:rFonts w:ascii="黑体" w:hAnsi="黑体" w:eastAsia="黑体"/>
                <w:b w:val="0"/>
                <w:sz w:val="22"/>
                <w:highlight w:val="none"/>
              </w:rPr>
              <w:t>分值</w:t>
            </w:r>
          </w:p>
        </w:tc>
        <w:tc>
          <w:tcPr>
            <w:tcW w:w="5443" w:type="dxa"/>
          </w:tcPr>
          <w:p w14:paraId="65115AD8">
            <w:pPr>
              <w:spacing w:after="0" w:line="264" w:lineRule="auto"/>
              <w:jc w:val="center"/>
              <w:rPr>
                <w:highlight w:val="none"/>
              </w:rPr>
            </w:pPr>
            <w:r>
              <w:rPr>
                <w:rFonts w:ascii="黑体" w:hAnsi="黑体" w:eastAsia="黑体"/>
                <w:b w:val="0"/>
                <w:sz w:val="22"/>
                <w:highlight w:val="none"/>
              </w:rPr>
              <w:t>计分标准</w:t>
            </w:r>
          </w:p>
        </w:tc>
      </w:tr>
      <w:tr w14:paraId="0768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61380D61">
            <w:pPr>
              <w:spacing w:after="0" w:line="264" w:lineRule="auto"/>
              <w:jc w:val="center"/>
              <w:rPr>
                <w:highlight w:val="none"/>
              </w:rPr>
            </w:pPr>
            <w:r>
              <w:rPr>
                <w:rFonts w:ascii="仿宋_GB2312" w:hAnsi="仿宋_GB2312" w:eastAsia="仿宋_GB2312"/>
                <w:b w:val="0"/>
                <w:sz w:val="22"/>
                <w:highlight w:val="none"/>
              </w:rPr>
              <w:t>同类项目数量</w:t>
            </w:r>
          </w:p>
        </w:tc>
        <w:tc>
          <w:tcPr>
            <w:tcW w:w="794" w:type="dxa"/>
          </w:tcPr>
          <w:p w14:paraId="682B4106">
            <w:pPr>
              <w:spacing w:after="0" w:line="264" w:lineRule="auto"/>
              <w:jc w:val="center"/>
              <w:rPr>
                <w:highlight w:val="none"/>
              </w:rPr>
            </w:pPr>
            <w:r>
              <w:rPr>
                <w:rFonts w:ascii="仿宋_GB2312" w:hAnsi="仿宋_GB2312" w:eastAsia="仿宋_GB2312"/>
                <w:b w:val="0"/>
                <w:sz w:val="22"/>
                <w:highlight w:val="none"/>
              </w:rPr>
              <w:t>25</w:t>
            </w:r>
          </w:p>
        </w:tc>
        <w:tc>
          <w:tcPr>
            <w:tcW w:w="5443" w:type="dxa"/>
          </w:tcPr>
          <w:p w14:paraId="64AC96B6">
            <w:pPr>
              <w:spacing w:after="0" w:line="264" w:lineRule="auto"/>
              <w:jc w:val="left"/>
              <w:rPr>
                <w:highlight w:val="none"/>
              </w:rPr>
            </w:pPr>
            <w:r>
              <w:rPr>
                <w:rFonts w:ascii="仿宋_GB2312" w:hAnsi="仿宋_GB2312" w:eastAsia="仿宋_GB2312"/>
                <w:b w:val="0"/>
                <w:sz w:val="22"/>
                <w:highlight w:val="none"/>
              </w:rPr>
              <w:t>近3年内承接的经济责任审计或高级管理人员离任审计项目，每提供1个有效合同复印件计5分，满25分止</w:t>
            </w:r>
          </w:p>
        </w:tc>
      </w:tr>
      <w:tr w14:paraId="7B6B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4939C1F7">
            <w:pPr>
              <w:spacing w:after="0" w:line="264" w:lineRule="auto"/>
              <w:jc w:val="center"/>
              <w:rPr>
                <w:highlight w:val="none"/>
              </w:rPr>
            </w:pPr>
            <w:r>
              <w:rPr>
                <w:rFonts w:ascii="仿宋_GB2312" w:hAnsi="仿宋_GB2312" w:eastAsia="仿宋_GB2312"/>
                <w:b w:val="0"/>
                <w:sz w:val="22"/>
                <w:highlight w:val="none"/>
              </w:rPr>
              <w:t>行业相关性</w:t>
            </w:r>
          </w:p>
        </w:tc>
        <w:tc>
          <w:tcPr>
            <w:tcW w:w="794" w:type="dxa"/>
          </w:tcPr>
          <w:p w14:paraId="5A8C502D">
            <w:pPr>
              <w:spacing w:after="0" w:line="264" w:lineRule="auto"/>
              <w:jc w:val="center"/>
              <w:rPr>
                <w:highlight w:val="none"/>
              </w:rPr>
            </w:pPr>
            <w:r>
              <w:rPr>
                <w:rFonts w:ascii="仿宋_GB2312" w:hAnsi="仿宋_GB2312" w:eastAsia="仿宋_GB2312"/>
                <w:b w:val="0"/>
                <w:sz w:val="22"/>
                <w:highlight w:val="none"/>
              </w:rPr>
              <w:t>10</w:t>
            </w:r>
          </w:p>
        </w:tc>
        <w:tc>
          <w:tcPr>
            <w:tcW w:w="5443" w:type="dxa"/>
          </w:tcPr>
          <w:p w14:paraId="5C74001C">
            <w:pPr>
              <w:spacing w:after="0" w:line="264" w:lineRule="auto"/>
              <w:jc w:val="left"/>
              <w:rPr>
                <w:highlight w:val="none"/>
              </w:rPr>
            </w:pPr>
            <w:r>
              <w:rPr>
                <w:rFonts w:ascii="仿宋_GB2312" w:hAnsi="仿宋_GB2312" w:eastAsia="仿宋_GB2312"/>
                <w:b w:val="0"/>
                <w:sz w:val="22"/>
                <w:highlight w:val="none"/>
              </w:rPr>
              <w:t>上述项目中属于期货公司、证券公司或其他持牌金融机构的，每个另计2分，满10分止</w:t>
            </w:r>
          </w:p>
        </w:tc>
      </w:tr>
    </w:tbl>
    <w:p w14:paraId="7C65D4D0">
      <w:pPr>
        <w:rPr>
          <w:highlight w:val="none"/>
        </w:rPr>
      </w:pPr>
    </w:p>
    <w:p w14:paraId="4A8D35F6">
      <w:pPr>
        <w:spacing w:line="336" w:lineRule="auto"/>
        <w:ind w:firstLine="560"/>
        <w:rPr>
          <w:highlight w:val="none"/>
        </w:rPr>
      </w:pPr>
      <w:r>
        <w:rPr>
          <w:rFonts w:ascii="仿宋_GB2312" w:hAnsi="仿宋_GB2312" w:eastAsia="仿宋_GB2312"/>
          <w:b w:val="0"/>
          <w:sz w:val="28"/>
          <w:highlight w:val="none"/>
        </w:rPr>
        <w:t>有效合同须同时具备：委托单位名称、项目名称、合同金额、签订日期、双方盖章。近3年自本公告发布之日起向前推算。同一项目不重复计分。业绩清单填报与合同复印件不符的，该项不予计分。</w:t>
      </w:r>
    </w:p>
    <w:p w14:paraId="292E9D32">
      <w:pPr>
        <w:spacing w:line="336" w:lineRule="auto"/>
        <w:ind w:firstLine="560"/>
        <w:rPr>
          <w:highlight w:val="none"/>
        </w:rPr>
      </w:pPr>
      <w:r>
        <w:rPr>
          <w:rFonts w:ascii="仿宋_GB2312" w:hAnsi="仿宋_GB2312" w:eastAsia="仿宋_GB2312"/>
          <w:b w:val="0"/>
          <w:sz w:val="28"/>
          <w:highlight w:val="none"/>
        </w:rPr>
        <w:t>（五）项目团队（15分）</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794"/>
        <w:gridCol w:w="5443"/>
      </w:tblGrid>
      <w:tr w14:paraId="55E2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1690034E">
            <w:pPr>
              <w:spacing w:after="0" w:line="264" w:lineRule="auto"/>
              <w:jc w:val="center"/>
              <w:rPr>
                <w:highlight w:val="none"/>
              </w:rPr>
            </w:pPr>
            <w:r>
              <w:rPr>
                <w:rFonts w:ascii="黑体" w:hAnsi="黑体" w:eastAsia="黑体"/>
                <w:b w:val="0"/>
                <w:sz w:val="22"/>
                <w:highlight w:val="none"/>
              </w:rPr>
              <w:t>评分要素</w:t>
            </w:r>
          </w:p>
        </w:tc>
        <w:tc>
          <w:tcPr>
            <w:tcW w:w="794" w:type="dxa"/>
          </w:tcPr>
          <w:p w14:paraId="5095FA9B">
            <w:pPr>
              <w:spacing w:after="0" w:line="264" w:lineRule="auto"/>
              <w:jc w:val="center"/>
              <w:rPr>
                <w:highlight w:val="none"/>
              </w:rPr>
            </w:pPr>
            <w:r>
              <w:rPr>
                <w:rFonts w:ascii="黑体" w:hAnsi="黑体" w:eastAsia="黑体"/>
                <w:b w:val="0"/>
                <w:sz w:val="22"/>
                <w:highlight w:val="none"/>
              </w:rPr>
              <w:t>分值</w:t>
            </w:r>
          </w:p>
        </w:tc>
        <w:tc>
          <w:tcPr>
            <w:tcW w:w="5443" w:type="dxa"/>
          </w:tcPr>
          <w:p w14:paraId="5E5E0693">
            <w:pPr>
              <w:spacing w:after="0" w:line="264" w:lineRule="auto"/>
              <w:jc w:val="center"/>
              <w:rPr>
                <w:highlight w:val="none"/>
              </w:rPr>
            </w:pPr>
            <w:r>
              <w:rPr>
                <w:rFonts w:ascii="黑体" w:hAnsi="黑体" w:eastAsia="黑体"/>
                <w:b w:val="0"/>
                <w:sz w:val="22"/>
                <w:highlight w:val="none"/>
              </w:rPr>
              <w:t>计分标准</w:t>
            </w:r>
          </w:p>
        </w:tc>
      </w:tr>
      <w:tr w14:paraId="7133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05FF55D0">
            <w:pPr>
              <w:spacing w:after="0" w:line="264" w:lineRule="auto"/>
              <w:jc w:val="center"/>
              <w:rPr>
                <w:highlight w:val="none"/>
              </w:rPr>
            </w:pPr>
            <w:r>
              <w:rPr>
                <w:rFonts w:ascii="仿宋_GB2312" w:hAnsi="仿宋_GB2312" w:eastAsia="仿宋_GB2312"/>
                <w:b w:val="0"/>
                <w:sz w:val="22"/>
                <w:highlight w:val="none"/>
              </w:rPr>
              <w:t>项目负责人执业年限</w:t>
            </w:r>
          </w:p>
        </w:tc>
        <w:tc>
          <w:tcPr>
            <w:tcW w:w="794" w:type="dxa"/>
          </w:tcPr>
          <w:p w14:paraId="2D59EFE7">
            <w:pPr>
              <w:spacing w:after="0" w:line="264" w:lineRule="auto"/>
              <w:jc w:val="center"/>
              <w:rPr>
                <w:highlight w:val="none"/>
              </w:rPr>
            </w:pPr>
            <w:r>
              <w:rPr>
                <w:rFonts w:ascii="仿宋_GB2312" w:hAnsi="仿宋_GB2312" w:eastAsia="仿宋_GB2312"/>
                <w:b w:val="0"/>
                <w:sz w:val="22"/>
                <w:highlight w:val="none"/>
              </w:rPr>
              <w:t>5</w:t>
            </w:r>
          </w:p>
        </w:tc>
        <w:tc>
          <w:tcPr>
            <w:tcW w:w="5443" w:type="dxa"/>
          </w:tcPr>
          <w:p w14:paraId="39439458">
            <w:pPr>
              <w:spacing w:after="0" w:line="264" w:lineRule="auto"/>
              <w:jc w:val="left"/>
              <w:rPr>
                <w:highlight w:val="none"/>
              </w:rPr>
            </w:pPr>
            <w:r>
              <w:rPr>
                <w:rFonts w:ascii="仿宋_GB2312" w:hAnsi="仿宋_GB2312" w:eastAsia="仿宋_GB2312"/>
                <w:b w:val="0"/>
                <w:sz w:val="22"/>
                <w:highlight w:val="none"/>
              </w:rPr>
              <w:t>中国注册会计师执业每满1年计1分，满5分止；未提供执业证书扫描件的不计分</w:t>
            </w:r>
          </w:p>
        </w:tc>
      </w:tr>
      <w:tr w14:paraId="5A07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77F62A91">
            <w:pPr>
              <w:spacing w:after="0" w:line="264" w:lineRule="auto"/>
              <w:jc w:val="center"/>
              <w:rPr>
                <w:highlight w:val="none"/>
              </w:rPr>
            </w:pPr>
            <w:r>
              <w:rPr>
                <w:rFonts w:ascii="仿宋_GB2312" w:hAnsi="仿宋_GB2312" w:eastAsia="仿宋_GB2312"/>
                <w:b w:val="0"/>
                <w:sz w:val="22"/>
                <w:highlight w:val="none"/>
              </w:rPr>
              <w:t>项目组注册会计师人数</w:t>
            </w:r>
          </w:p>
        </w:tc>
        <w:tc>
          <w:tcPr>
            <w:tcW w:w="794" w:type="dxa"/>
          </w:tcPr>
          <w:p w14:paraId="2441B8A9">
            <w:pPr>
              <w:spacing w:after="0" w:line="264" w:lineRule="auto"/>
              <w:jc w:val="center"/>
              <w:rPr>
                <w:highlight w:val="none"/>
              </w:rPr>
            </w:pPr>
            <w:r>
              <w:rPr>
                <w:rFonts w:ascii="仿宋_GB2312" w:hAnsi="仿宋_GB2312" w:eastAsia="仿宋_GB2312"/>
                <w:b w:val="0"/>
                <w:sz w:val="22"/>
                <w:highlight w:val="none"/>
              </w:rPr>
              <w:t>6</w:t>
            </w:r>
          </w:p>
        </w:tc>
        <w:tc>
          <w:tcPr>
            <w:tcW w:w="5443" w:type="dxa"/>
          </w:tcPr>
          <w:p w14:paraId="1BE020BD">
            <w:pPr>
              <w:spacing w:after="0" w:line="264" w:lineRule="auto"/>
              <w:jc w:val="left"/>
              <w:rPr>
                <w:highlight w:val="none"/>
              </w:rPr>
            </w:pPr>
            <w:r>
              <w:rPr>
                <w:rFonts w:ascii="仿宋_GB2312" w:hAnsi="仿宋_GB2312" w:eastAsia="仿宋_GB2312"/>
                <w:b w:val="0"/>
                <w:sz w:val="22"/>
                <w:highlight w:val="none"/>
              </w:rPr>
              <w:t>项目组中除负责人外，每有1名中国注册会计师计2分，满6分止</w:t>
            </w:r>
          </w:p>
        </w:tc>
      </w:tr>
      <w:tr w14:paraId="273C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14:paraId="043D3BD4">
            <w:pPr>
              <w:spacing w:after="0" w:line="264" w:lineRule="auto"/>
              <w:jc w:val="center"/>
              <w:rPr>
                <w:highlight w:val="none"/>
              </w:rPr>
            </w:pPr>
            <w:r>
              <w:rPr>
                <w:rFonts w:ascii="仿宋_GB2312" w:hAnsi="仿宋_GB2312" w:eastAsia="仿宋_GB2312"/>
                <w:b w:val="0"/>
                <w:sz w:val="22"/>
                <w:highlight w:val="none"/>
              </w:rPr>
              <w:t>质量控制承诺</w:t>
            </w:r>
          </w:p>
        </w:tc>
        <w:tc>
          <w:tcPr>
            <w:tcW w:w="794" w:type="dxa"/>
          </w:tcPr>
          <w:p w14:paraId="3713DD90">
            <w:pPr>
              <w:spacing w:after="0" w:line="264" w:lineRule="auto"/>
              <w:jc w:val="center"/>
              <w:rPr>
                <w:highlight w:val="none"/>
              </w:rPr>
            </w:pPr>
            <w:r>
              <w:rPr>
                <w:rFonts w:ascii="仿宋_GB2312" w:hAnsi="仿宋_GB2312" w:eastAsia="仿宋_GB2312"/>
                <w:b w:val="0"/>
                <w:sz w:val="22"/>
                <w:highlight w:val="none"/>
              </w:rPr>
              <w:t>4</w:t>
            </w:r>
          </w:p>
        </w:tc>
        <w:tc>
          <w:tcPr>
            <w:tcW w:w="5443" w:type="dxa"/>
          </w:tcPr>
          <w:p w14:paraId="0E40D190">
            <w:pPr>
              <w:spacing w:after="0" w:line="264" w:lineRule="auto"/>
              <w:jc w:val="left"/>
              <w:rPr>
                <w:highlight w:val="none"/>
              </w:rPr>
            </w:pPr>
            <w:r>
              <w:rPr>
                <w:rFonts w:ascii="仿宋_GB2312" w:hAnsi="仿宋_GB2312" w:eastAsia="仿宋_GB2312"/>
                <w:b w:val="0"/>
                <w:sz w:val="22"/>
                <w:highlight w:val="none"/>
              </w:rPr>
              <w:t>书面承诺实行三级复核并在人员配置表中列明各级复核人姓名及资格的，计4分；未列明复核人的不计分</w:t>
            </w:r>
          </w:p>
        </w:tc>
      </w:tr>
    </w:tbl>
    <w:p w14:paraId="51D705F5">
      <w:pPr>
        <w:rPr>
          <w:highlight w:val="none"/>
        </w:rPr>
      </w:pPr>
    </w:p>
    <w:p w14:paraId="2E38D6CD">
      <w:pPr>
        <w:spacing w:line="336" w:lineRule="auto"/>
        <w:ind w:firstLine="560"/>
        <w:rPr>
          <w:highlight w:val="none"/>
        </w:rPr>
      </w:pPr>
      <w:r>
        <w:rPr>
          <w:rFonts w:ascii="仿宋_GB2312" w:hAnsi="仿宋_GB2312" w:eastAsia="仿宋_GB2312"/>
          <w:b w:val="0"/>
          <w:sz w:val="28"/>
          <w:highlight w:val="none"/>
        </w:rPr>
        <w:t>（六）成交</w:t>
      </w:r>
    </w:p>
    <w:p w14:paraId="57956915">
      <w:pPr>
        <w:spacing w:line="336" w:lineRule="auto"/>
        <w:ind w:firstLine="560"/>
        <w:rPr>
          <w:highlight w:val="none"/>
        </w:rPr>
      </w:pPr>
      <w:r>
        <w:rPr>
          <w:rFonts w:ascii="仿宋_GB2312" w:hAnsi="仿宋_GB2312" w:eastAsia="仿宋_GB2312"/>
          <w:b w:val="0"/>
          <w:sz w:val="28"/>
          <w:highlight w:val="none"/>
        </w:rPr>
        <w:t>按综合得分由高到低排序，得分最高者为成交供应商。得分相同的，类似项目经验得分高者优先；仍相同的，报价低者优先。</w:t>
      </w:r>
    </w:p>
    <w:p w14:paraId="3CDB58BE">
      <w:pPr>
        <w:spacing w:before="200" w:after="80"/>
        <w:rPr>
          <w:highlight w:val="none"/>
        </w:rPr>
      </w:pPr>
      <w:r>
        <w:rPr>
          <w:rFonts w:ascii="黑体" w:hAnsi="黑体" w:eastAsia="黑体"/>
          <w:b w:val="0"/>
          <w:sz w:val="28"/>
          <w:highlight w:val="none"/>
        </w:rPr>
        <w:t>十、成交与合同</w:t>
      </w:r>
    </w:p>
    <w:p w14:paraId="736EBFFB">
      <w:pPr>
        <w:spacing w:line="336" w:lineRule="auto"/>
        <w:ind w:firstLine="560"/>
        <w:rPr>
          <w:highlight w:val="none"/>
        </w:rPr>
      </w:pPr>
      <w:r>
        <w:rPr>
          <w:rFonts w:ascii="仿宋_GB2312" w:hAnsi="仿宋_GB2312" w:eastAsia="仿宋_GB2312"/>
          <w:b w:val="0"/>
          <w:sz w:val="28"/>
          <w:highlight w:val="none"/>
        </w:rPr>
        <w:t>（一）成交结果在公司官网公示，公示期3个工作日。</w:t>
      </w:r>
    </w:p>
    <w:p w14:paraId="0E71AB3D">
      <w:pPr>
        <w:spacing w:line="336" w:lineRule="auto"/>
        <w:ind w:firstLine="560"/>
        <w:rPr>
          <w:highlight w:val="none"/>
        </w:rPr>
      </w:pPr>
      <w:r>
        <w:rPr>
          <w:rFonts w:ascii="仿宋_GB2312" w:hAnsi="仿宋_GB2312" w:eastAsia="仿宋_GB2312"/>
          <w:b w:val="0"/>
          <w:sz w:val="28"/>
          <w:highlight w:val="none"/>
        </w:rPr>
        <w:t>（二）公示期满无异议的，采购人向成交供应商发出成交通知书，双方在10个工作日内签订合同。</w:t>
      </w:r>
    </w:p>
    <w:p w14:paraId="3A3A6C3C">
      <w:pPr>
        <w:spacing w:line="336" w:lineRule="auto"/>
        <w:ind w:firstLine="560"/>
        <w:rPr>
          <w:highlight w:val="none"/>
        </w:rPr>
      </w:pPr>
      <w:r>
        <w:rPr>
          <w:rFonts w:ascii="仿宋_GB2312" w:hAnsi="仿宋_GB2312" w:eastAsia="仿宋_GB2312"/>
          <w:b w:val="0"/>
          <w:sz w:val="28"/>
          <w:highlight w:val="none"/>
        </w:rPr>
        <w:t>（三）成交供应商拟派的项目负责人及项目组成员，非经采购人书面同意不得更换；擅自更换的，采购人有权解除合同。</w:t>
      </w:r>
    </w:p>
    <w:p w14:paraId="27F44983">
      <w:pPr>
        <w:spacing w:line="336" w:lineRule="auto"/>
        <w:ind w:firstLine="560"/>
        <w:rPr>
          <w:highlight w:val="none"/>
        </w:rPr>
      </w:pPr>
      <w:r>
        <w:rPr>
          <w:rFonts w:ascii="仿宋_GB2312" w:hAnsi="仿宋_GB2312" w:eastAsia="仿宋_GB2312"/>
          <w:b w:val="0"/>
          <w:sz w:val="28"/>
          <w:highlight w:val="none"/>
        </w:rPr>
        <w:t>（四）成交供应商无正当理由拒绝签订合同的，采购人有权取消其成交资格并顺延确定成交供应商。</w:t>
      </w:r>
    </w:p>
    <w:p w14:paraId="6225AAC6">
      <w:pPr>
        <w:spacing w:before="200" w:after="80"/>
        <w:rPr>
          <w:highlight w:val="none"/>
        </w:rPr>
      </w:pPr>
      <w:r>
        <w:rPr>
          <w:rFonts w:ascii="黑体" w:hAnsi="黑体" w:eastAsia="黑体"/>
          <w:b w:val="0"/>
          <w:sz w:val="28"/>
          <w:highlight w:val="none"/>
        </w:rPr>
        <w:t>十一、其他事项</w:t>
      </w:r>
    </w:p>
    <w:p w14:paraId="306065EA">
      <w:pPr>
        <w:spacing w:line="336" w:lineRule="auto"/>
        <w:ind w:firstLine="560"/>
        <w:rPr>
          <w:highlight w:val="none"/>
        </w:rPr>
      </w:pPr>
      <w:r>
        <w:rPr>
          <w:rFonts w:ascii="仿宋_GB2312" w:hAnsi="仿宋_GB2312" w:eastAsia="仿宋_GB2312"/>
          <w:b w:val="0"/>
          <w:sz w:val="28"/>
          <w:highlight w:val="none"/>
        </w:rPr>
        <w:t>（一）本项目为公司自有资金采购项目，不适用《中华人民共和国招标投标法》及《中华人民共和国政府采购法》，采购程序以本公告的约定为准。</w:t>
      </w:r>
    </w:p>
    <w:p w14:paraId="631FFCDC">
      <w:pPr>
        <w:spacing w:line="336" w:lineRule="auto"/>
        <w:ind w:firstLine="560"/>
        <w:rPr>
          <w:highlight w:val="none"/>
        </w:rPr>
      </w:pPr>
      <w:r>
        <w:rPr>
          <w:rFonts w:ascii="仿宋_GB2312" w:hAnsi="仿宋_GB2312" w:eastAsia="仿宋_GB2312"/>
          <w:b w:val="0"/>
          <w:sz w:val="28"/>
          <w:highlight w:val="none"/>
        </w:rPr>
        <w:t>（二）供应商对本公告内容有异议的，可在响应文件递交截止时间前向采购人书面提出。</w:t>
      </w:r>
    </w:p>
    <w:p w14:paraId="72AF1E3B">
      <w:pPr>
        <w:spacing w:line="336" w:lineRule="auto"/>
        <w:ind w:firstLine="560"/>
        <w:rPr>
          <w:highlight w:val="none"/>
        </w:rPr>
      </w:pPr>
      <w:r>
        <w:rPr>
          <w:rFonts w:ascii="仿宋_GB2312" w:hAnsi="仿宋_GB2312" w:eastAsia="仿宋_GB2312"/>
          <w:b w:val="0"/>
          <w:sz w:val="28"/>
          <w:highlight w:val="none"/>
        </w:rPr>
        <w:t>（三）供应商参与本项目所发生的一切费用，由供应商自行承担。</w:t>
      </w:r>
    </w:p>
    <w:p w14:paraId="390FB4B5">
      <w:pPr>
        <w:spacing w:line="336" w:lineRule="auto"/>
        <w:ind w:firstLine="560"/>
        <w:rPr>
          <w:highlight w:val="none"/>
        </w:rPr>
      </w:pPr>
      <w:r>
        <w:rPr>
          <w:rFonts w:ascii="仿宋_GB2312" w:hAnsi="仿宋_GB2312" w:eastAsia="仿宋_GB2312"/>
          <w:b w:val="0"/>
          <w:sz w:val="28"/>
          <w:highlight w:val="none"/>
        </w:rPr>
        <w:t>（四）本公告发布之日起至响应文件递交截止之日止为公告期。本公告的解释权归采购人所有。</w:t>
      </w:r>
    </w:p>
    <w:p w14:paraId="5EFA803B">
      <w:pPr>
        <w:spacing w:before="200" w:after="80"/>
        <w:rPr>
          <w:highlight w:val="none"/>
        </w:rPr>
      </w:pPr>
      <w:r>
        <w:rPr>
          <w:rFonts w:ascii="黑体" w:hAnsi="黑体" w:eastAsia="黑体"/>
          <w:b w:val="0"/>
          <w:sz w:val="28"/>
          <w:highlight w:val="none"/>
        </w:rPr>
        <w:t>十二、联系方式</w:t>
      </w:r>
    </w:p>
    <w:p w14:paraId="0F4F74D3">
      <w:pPr>
        <w:spacing w:line="336" w:lineRule="auto"/>
        <w:ind w:firstLine="560"/>
        <w:rPr>
          <w:highlight w:val="none"/>
        </w:rPr>
      </w:pPr>
      <w:r>
        <w:rPr>
          <w:rFonts w:ascii="仿宋_GB2312" w:hAnsi="仿宋_GB2312" w:eastAsia="仿宋_GB2312"/>
          <w:b w:val="0"/>
          <w:sz w:val="28"/>
          <w:highlight w:val="none"/>
        </w:rPr>
        <w:t>（一）采购人：国盛期货有限责任公司</w:t>
      </w:r>
    </w:p>
    <w:p w14:paraId="06E06757">
      <w:pPr>
        <w:spacing w:line="336" w:lineRule="auto"/>
        <w:ind w:firstLine="560"/>
        <w:rPr>
          <w:rFonts w:hint="default" w:eastAsia="仿宋_GB2312"/>
          <w:highlight w:val="none"/>
          <w:lang w:val="en-US" w:eastAsia="zh-CN"/>
        </w:rPr>
      </w:pPr>
      <w:r>
        <w:rPr>
          <w:rFonts w:ascii="仿宋_GB2312" w:hAnsi="仿宋_GB2312" w:eastAsia="仿宋_GB2312"/>
          <w:b w:val="0"/>
          <w:sz w:val="28"/>
          <w:highlight w:val="none"/>
        </w:rPr>
        <w:t>（二）官方网站：</w:t>
      </w:r>
      <w:r>
        <w:rPr>
          <w:rFonts w:hint="eastAsia"/>
          <w:b w:val="0"/>
          <w:sz w:val="28"/>
          <w:highlight w:val="none"/>
          <w:lang w:val="en-US" w:eastAsia="zh-CN"/>
        </w:rPr>
        <w:t>www.guoshengqh.com</w:t>
      </w:r>
    </w:p>
    <w:p w14:paraId="0E892509">
      <w:pPr>
        <w:spacing w:line="336" w:lineRule="auto"/>
        <w:ind w:firstLine="560"/>
        <w:rPr>
          <w:highlight w:val="none"/>
        </w:rPr>
      </w:pPr>
      <w:r>
        <w:rPr>
          <w:rFonts w:ascii="仿宋_GB2312" w:hAnsi="仿宋_GB2312" w:eastAsia="仿宋_GB2312"/>
          <w:b w:val="0"/>
          <w:sz w:val="28"/>
          <w:highlight w:val="none"/>
        </w:rPr>
        <w:t>（三）地址：</w:t>
      </w:r>
      <w:r>
        <w:rPr>
          <w:rFonts w:hint="eastAsia"/>
          <w:b w:val="0"/>
          <w:sz w:val="28"/>
          <w:highlight w:val="none"/>
          <w:lang w:val="en-US" w:eastAsia="zh-CN"/>
        </w:rPr>
        <w:t>上海市浦东新区向城路288号国华人寿金融大厦5楼国盛期货</w:t>
      </w:r>
    </w:p>
    <w:p w14:paraId="4CAFADB2">
      <w:pPr>
        <w:spacing w:line="336" w:lineRule="auto"/>
        <w:ind w:firstLine="560"/>
        <w:rPr>
          <w:highlight w:val="none"/>
        </w:rPr>
      </w:pPr>
      <w:r>
        <w:rPr>
          <w:rFonts w:ascii="仿宋_GB2312" w:hAnsi="仿宋_GB2312" w:eastAsia="仿宋_GB2312"/>
          <w:b w:val="0"/>
          <w:sz w:val="28"/>
          <w:highlight w:val="none"/>
        </w:rPr>
        <w:t>（四）联系人：王云</w:t>
      </w:r>
    </w:p>
    <w:p w14:paraId="1F0CF4F9">
      <w:pPr>
        <w:spacing w:line="336" w:lineRule="auto"/>
        <w:ind w:firstLine="560"/>
        <w:rPr>
          <w:rFonts w:hint="eastAsia"/>
          <w:b w:val="0"/>
          <w:sz w:val="28"/>
          <w:highlight w:val="none"/>
          <w:lang w:val="en-US" w:eastAsia="zh-CN"/>
        </w:rPr>
      </w:pPr>
      <w:r>
        <w:rPr>
          <w:rFonts w:ascii="仿宋_GB2312" w:hAnsi="仿宋_GB2312" w:eastAsia="仿宋_GB2312"/>
          <w:b w:val="0"/>
          <w:sz w:val="28"/>
          <w:highlight w:val="none"/>
        </w:rPr>
        <w:t>（五）联系电话：</w:t>
      </w:r>
      <w:r>
        <w:rPr>
          <w:rFonts w:hint="eastAsia"/>
          <w:b w:val="0"/>
          <w:sz w:val="28"/>
          <w:highlight w:val="none"/>
          <w:lang w:val="en-US" w:eastAsia="zh-CN"/>
        </w:rPr>
        <w:t>021-60853155</w:t>
      </w:r>
    </w:p>
    <w:p w14:paraId="2A68A329">
      <w:pPr>
        <w:spacing w:line="336" w:lineRule="auto"/>
        <w:ind w:firstLine="560"/>
        <w:rPr>
          <w:rFonts w:hint="default" w:eastAsia="仿宋_GB2312"/>
          <w:highlight w:val="none"/>
          <w:lang w:val="en-US" w:eastAsia="zh-CN"/>
        </w:rPr>
      </w:pPr>
      <w:r>
        <w:rPr>
          <w:rFonts w:ascii="仿宋_GB2312" w:hAnsi="仿宋_GB2312" w:eastAsia="仿宋_GB2312"/>
          <w:b w:val="0"/>
          <w:sz w:val="28"/>
          <w:highlight w:val="none"/>
        </w:rPr>
        <w:t>（六）电子邮箱：</w:t>
      </w:r>
      <w:r>
        <w:rPr>
          <w:rFonts w:hint="eastAsia"/>
          <w:b w:val="0"/>
          <w:sz w:val="28"/>
          <w:highlight w:val="none"/>
          <w:lang w:val="en-US" w:eastAsia="zh-CN"/>
        </w:rPr>
        <w:t>cwb@guoshengqh.com</w:t>
      </w:r>
    </w:p>
    <w:p w14:paraId="5E651720">
      <w:pPr>
        <w:rPr>
          <w:highlight w:val="none"/>
        </w:rPr>
      </w:pPr>
    </w:p>
    <w:p w14:paraId="359D8683">
      <w:pPr>
        <w:spacing w:line="336" w:lineRule="auto"/>
        <w:jc w:val="right"/>
        <w:rPr>
          <w:highlight w:val="none"/>
        </w:rPr>
      </w:pPr>
      <w:r>
        <w:rPr>
          <w:rFonts w:ascii="仿宋_GB2312" w:hAnsi="仿宋_GB2312" w:eastAsia="仿宋_GB2312"/>
          <w:b w:val="0"/>
          <w:sz w:val="28"/>
          <w:highlight w:val="none"/>
        </w:rPr>
        <w:t>国盛期货有限责任公司</w:t>
      </w:r>
    </w:p>
    <w:p w14:paraId="5F2AFD46">
      <w:pPr>
        <w:spacing w:line="336" w:lineRule="auto"/>
        <w:jc w:val="right"/>
        <w:rPr>
          <w:highlight w:val="none"/>
        </w:rPr>
      </w:pPr>
      <w:r>
        <w:rPr>
          <w:rFonts w:ascii="仿宋_GB2312" w:hAnsi="仿宋_GB2312" w:eastAsia="仿宋_GB2312"/>
          <w:b w:val="0"/>
          <w:sz w:val="28"/>
          <w:highlight w:val="none"/>
        </w:rPr>
        <w:t>2026年8月</w:t>
      </w:r>
      <w:r>
        <w:rPr>
          <w:rFonts w:hint="eastAsia"/>
          <w:b w:val="0"/>
          <w:sz w:val="28"/>
          <w:highlight w:val="none"/>
          <w:lang w:val="en-US" w:eastAsia="zh-CN"/>
        </w:rPr>
        <w:t>13</w:t>
      </w:r>
      <w:bookmarkStart w:id="0" w:name="_GoBack"/>
      <w:bookmarkEnd w:id="0"/>
      <w:r>
        <w:rPr>
          <w:rFonts w:ascii="仿宋_GB2312" w:hAnsi="仿宋_GB2312" w:eastAsia="仿宋_GB2312"/>
          <w:b w:val="0"/>
          <w:sz w:val="28"/>
          <w:highlight w:val="none"/>
        </w:rPr>
        <w:t>日</w:t>
      </w:r>
    </w:p>
    <w:p w14:paraId="02E7304F">
      <w:pPr>
        <w:rPr>
          <w:highlight w:val="none"/>
        </w:rPr>
      </w:pPr>
      <w:r>
        <w:rPr>
          <w:highlight w:val="none"/>
        </w:rPr>
        <w:br w:type="page"/>
      </w:r>
    </w:p>
    <w:p w14:paraId="09620574">
      <w:pPr>
        <w:spacing w:before="200" w:after="80"/>
        <w:rPr>
          <w:highlight w:val="none"/>
        </w:rPr>
      </w:pPr>
      <w:r>
        <w:rPr>
          <w:rFonts w:ascii="黑体" w:hAnsi="黑体" w:eastAsia="黑体"/>
          <w:b w:val="0"/>
          <w:sz w:val="28"/>
          <w:highlight w:val="none"/>
        </w:rPr>
        <w:t>附件一：响应函（格式）</w:t>
      </w:r>
    </w:p>
    <w:p w14:paraId="24D6FD53">
      <w:pPr>
        <w:spacing w:line="336" w:lineRule="auto"/>
        <w:rPr>
          <w:highlight w:val="none"/>
        </w:rPr>
      </w:pPr>
      <w:r>
        <w:rPr>
          <w:rFonts w:ascii="仿宋_GB2312" w:hAnsi="仿宋_GB2312" w:eastAsia="仿宋_GB2312"/>
          <w:b w:val="0"/>
          <w:sz w:val="28"/>
          <w:highlight w:val="none"/>
        </w:rPr>
        <w:t>致：国盛期货有限责任公司</w:t>
      </w:r>
    </w:p>
    <w:p w14:paraId="0FEB308F">
      <w:pPr>
        <w:spacing w:line="336" w:lineRule="auto"/>
        <w:ind w:firstLine="560"/>
        <w:rPr>
          <w:highlight w:val="none"/>
        </w:rPr>
      </w:pPr>
      <w:r>
        <w:rPr>
          <w:rFonts w:ascii="仿宋_GB2312" w:hAnsi="仿宋_GB2312" w:eastAsia="仿宋_GB2312"/>
          <w:b w:val="0"/>
          <w:sz w:val="28"/>
          <w:highlight w:val="none"/>
        </w:rPr>
        <w:t>我方已详细阅读《国盛期货有限责任公司首席风险官离任审计服务项目商务谈判公告》全部内容，愿意参与本项目并作出如下承诺：</w:t>
      </w:r>
    </w:p>
    <w:p w14:paraId="126A10A4">
      <w:pPr>
        <w:spacing w:line="336" w:lineRule="auto"/>
        <w:ind w:firstLine="560"/>
        <w:rPr>
          <w:highlight w:val="none"/>
        </w:rPr>
      </w:pPr>
      <w:r>
        <w:rPr>
          <w:rFonts w:ascii="仿宋_GB2312" w:hAnsi="仿宋_GB2312" w:eastAsia="仿宋_GB2312"/>
          <w:b w:val="0"/>
          <w:sz w:val="28"/>
          <w:highlight w:val="none"/>
        </w:rPr>
        <w:t>（一）我方响应报价为人民币________元（含税），大写：____________________，该报价涵盖本项目全部审计期间及审计内容，包含一切费用。</w:t>
      </w:r>
    </w:p>
    <w:p w14:paraId="190EA841">
      <w:pPr>
        <w:spacing w:line="336" w:lineRule="auto"/>
        <w:ind w:firstLine="560"/>
        <w:rPr>
          <w:highlight w:val="none"/>
        </w:rPr>
      </w:pPr>
      <w:r>
        <w:rPr>
          <w:rFonts w:ascii="仿宋_GB2312" w:hAnsi="仿宋_GB2312" w:eastAsia="仿宋_GB2312"/>
          <w:b w:val="0"/>
          <w:sz w:val="28"/>
          <w:highlight w:val="none"/>
        </w:rPr>
        <w:t>（二）我方承诺自合同签订之日起5个工作日内进场，进场后____个自然日内出具正式审计报告。</w:t>
      </w:r>
    </w:p>
    <w:p w14:paraId="6B4920F6">
      <w:pPr>
        <w:spacing w:line="336" w:lineRule="auto"/>
        <w:ind w:firstLine="560"/>
        <w:rPr>
          <w:highlight w:val="none"/>
        </w:rPr>
      </w:pPr>
      <w:r>
        <w:rPr>
          <w:rFonts w:ascii="仿宋_GB2312" w:hAnsi="仿宋_GB2312" w:eastAsia="仿宋_GB2312"/>
          <w:b w:val="0"/>
          <w:sz w:val="28"/>
          <w:highlight w:val="none"/>
        </w:rPr>
        <w:t>（三）我方承诺按公告第四条、第五条要求提交全部成果文件。</w:t>
      </w:r>
    </w:p>
    <w:p w14:paraId="7101308D">
      <w:pPr>
        <w:spacing w:line="336" w:lineRule="auto"/>
        <w:ind w:firstLine="560"/>
        <w:rPr>
          <w:highlight w:val="none"/>
        </w:rPr>
      </w:pPr>
      <w:r>
        <w:rPr>
          <w:rFonts w:ascii="仿宋_GB2312" w:hAnsi="仿宋_GB2312" w:eastAsia="仿宋_GB2312"/>
          <w:b w:val="0"/>
          <w:sz w:val="28"/>
          <w:highlight w:val="none"/>
        </w:rPr>
        <w:t>（四）我方承诺拟派项目负责人及项目组成员非经采购人书面同意不予更换。</w:t>
      </w:r>
    </w:p>
    <w:p w14:paraId="25B77CD5">
      <w:pPr>
        <w:spacing w:line="336" w:lineRule="auto"/>
        <w:ind w:firstLine="560"/>
        <w:rPr>
          <w:highlight w:val="none"/>
        </w:rPr>
      </w:pPr>
      <w:r>
        <w:rPr>
          <w:rFonts w:ascii="仿宋_GB2312" w:hAnsi="仿宋_GB2312" w:eastAsia="仿宋_GB2312"/>
          <w:b w:val="0"/>
          <w:sz w:val="28"/>
          <w:highlight w:val="none"/>
        </w:rPr>
        <w:t>（五）我方响应文件自递交截止之日起90日内有效。</w:t>
      </w:r>
    </w:p>
    <w:p w14:paraId="5C681CC3">
      <w:pPr>
        <w:spacing w:line="336" w:lineRule="auto"/>
        <w:rPr>
          <w:highlight w:val="none"/>
        </w:rPr>
      </w:pPr>
      <w:r>
        <w:rPr>
          <w:rFonts w:ascii="仿宋_GB2312" w:hAnsi="仿宋_GB2312" w:eastAsia="仿宋_GB2312"/>
          <w:b w:val="0"/>
          <w:sz w:val="28"/>
          <w:highlight w:val="none"/>
        </w:rPr>
        <w:t>供应商名称（盖章）：________________</w:t>
      </w:r>
    </w:p>
    <w:p w14:paraId="3BCB03AB">
      <w:pPr>
        <w:spacing w:line="336" w:lineRule="auto"/>
        <w:rPr>
          <w:highlight w:val="none"/>
        </w:rPr>
      </w:pPr>
      <w:r>
        <w:rPr>
          <w:rFonts w:ascii="仿宋_GB2312" w:hAnsi="仿宋_GB2312" w:eastAsia="仿宋_GB2312"/>
          <w:b w:val="0"/>
          <w:sz w:val="28"/>
          <w:highlight w:val="none"/>
        </w:rPr>
        <w:t>法定代表人或授权代表（签字）：________________</w:t>
      </w:r>
    </w:p>
    <w:p w14:paraId="7A023FC2">
      <w:pPr>
        <w:spacing w:line="336" w:lineRule="auto"/>
        <w:rPr>
          <w:highlight w:val="none"/>
        </w:rPr>
      </w:pPr>
      <w:r>
        <w:rPr>
          <w:rFonts w:ascii="仿宋_GB2312" w:hAnsi="仿宋_GB2312" w:eastAsia="仿宋_GB2312"/>
          <w:b w:val="0"/>
          <w:sz w:val="28"/>
          <w:highlight w:val="none"/>
        </w:rPr>
        <w:t>日期：______年____月____日</w:t>
      </w:r>
    </w:p>
    <w:p w14:paraId="243CA54F">
      <w:pPr>
        <w:rPr>
          <w:highlight w:val="none"/>
        </w:rPr>
      </w:pPr>
      <w:r>
        <w:rPr>
          <w:highlight w:val="none"/>
        </w:rPr>
        <w:br w:type="page"/>
      </w:r>
    </w:p>
    <w:p w14:paraId="706ACC33">
      <w:pPr>
        <w:spacing w:before="200" w:after="80"/>
        <w:rPr>
          <w:highlight w:val="none"/>
        </w:rPr>
      </w:pPr>
      <w:r>
        <w:rPr>
          <w:rFonts w:ascii="黑体" w:hAnsi="黑体" w:eastAsia="黑体"/>
          <w:b w:val="0"/>
          <w:sz w:val="28"/>
          <w:highlight w:val="none"/>
        </w:rPr>
        <w:t>附件二：类似项目业绩表（格式）</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701"/>
        <w:gridCol w:w="1474"/>
        <w:gridCol w:w="1247"/>
        <w:gridCol w:w="1247"/>
        <w:gridCol w:w="907"/>
        <w:gridCol w:w="907"/>
        <w:gridCol w:w="794"/>
      </w:tblGrid>
      <w:tr w14:paraId="5F1A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3BEDB085">
            <w:pPr>
              <w:spacing w:after="0" w:line="264" w:lineRule="auto"/>
              <w:jc w:val="center"/>
              <w:rPr>
                <w:highlight w:val="none"/>
              </w:rPr>
            </w:pPr>
            <w:r>
              <w:rPr>
                <w:rFonts w:ascii="黑体" w:hAnsi="黑体" w:eastAsia="黑体"/>
                <w:b w:val="0"/>
                <w:sz w:val="20"/>
                <w:highlight w:val="none"/>
              </w:rPr>
              <w:t>序号</w:t>
            </w:r>
          </w:p>
        </w:tc>
        <w:tc>
          <w:tcPr>
            <w:tcW w:w="1701" w:type="dxa"/>
          </w:tcPr>
          <w:p w14:paraId="45D7C73E">
            <w:pPr>
              <w:spacing w:after="0" w:line="264" w:lineRule="auto"/>
              <w:jc w:val="center"/>
              <w:rPr>
                <w:highlight w:val="none"/>
              </w:rPr>
            </w:pPr>
            <w:r>
              <w:rPr>
                <w:rFonts w:ascii="黑体" w:hAnsi="黑体" w:eastAsia="黑体"/>
                <w:b w:val="0"/>
                <w:sz w:val="20"/>
                <w:highlight w:val="none"/>
              </w:rPr>
              <w:t>项目名称</w:t>
            </w:r>
          </w:p>
        </w:tc>
        <w:tc>
          <w:tcPr>
            <w:tcW w:w="1474" w:type="dxa"/>
          </w:tcPr>
          <w:p w14:paraId="175E8149">
            <w:pPr>
              <w:spacing w:after="0" w:line="264" w:lineRule="auto"/>
              <w:jc w:val="center"/>
              <w:rPr>
                <w:highlight w:val="none"/>
              </w:rPr>
            </w:pPr>
            <w:r>
              <w:rPr>
                <w:rFonts w:ascii="黑体" w:hAnsi="黑体" w:eastAsia="黑体"/>
                <w:b w:val="0"/>
                <w:sz w:val="20"/>
                <w:highlight w:val="none"/>
              </w:rPr>
              <w:t>委托单位</w:t>
            </w:r>
          </w:p>
        </w:tc>
        <w:tc>
          <w:tcPr>
            <w:tcW w:w="1247" w:type="dxa"/>
          </w:tcPr>
          <w:p w14:paraId="3A1578B3">
            <w:pPr>
              <w:spacing w:after="0" w:line="264" w:lineRule="auto"/>
              <w:jc w:val="center"/>
              <w:rPr>
                <w:highlight w:val="none"/>
              </w:rPr>
            </w:pPr>
            <w:r>
              <w:rPr>
                <w:rFonts w:ascii="黑体" w:hAnsi="黑体" w:eastAsia="黑体"/>
                <w:b w:val="0"/>
                <w:sz w:val="20"/>
                <w:highlight w:val="none"/>
              </w:rPr>
              <w:t>项目类型</w:t>
            </w:r>
          </w:p>
        </w:tc>
        <w:tc>
          <w:tcPr>
            <w:tcW w:w="1247" w:type="dxa"/>
          </w:tcPr>
          <w:p w14:paraId="30960CEE">
            <w:pPr>
              <w:spacing w:after="0" w:line="264" w:lineRule="auto"/>
              <w:jc w:val="center"/>
              <w:rPr>
                <w:highlight w:val="none"/>
              </w:rPr>
            </w:pPr>
            <w:r>
              <w:rPr>
                <w:rFonts w:ascii="黑体" w:hAnsi="黑体" w:eastAsia="黑体"/>
                <w:b w:val="0"/>
                <w:sz w:val="20"/>
                <w:highlight w:val="none"/>
              </w:rPr>
              <w:t>委托单位性质</w:t>
            </w:r>
          </w:p>
        </w:tc>
        <w:tc>
          <w:tcPr>
            <w:tcW w:w="907" w:type="dxa"/>
          </w:tcPr>
          <w:p w14:paraId="3D704EE7">
            <w:pPr>
              <w:spacing w:after="0" w:line="264" w:lineRule="auto"/>
              <w:jc w:val="center"/>
              <w:rPr>
                <w:highlight w:val="none"/>
              </w:rPr>
            </w:pPr>
            <w:r>
              <w:rPr>
                <w:rFonts w:ascii="黑体" w:hAnsi="黑体" w:eastAsia="黑体"/>
                <w:b w:val="0"/>
                <w:sz w:val="20"/>
                <w:highlight w:val="none"/>
              </w:rPr>
              <w:t>合同金额</w:t>
            </w:r>
          </w:p>
        </w:tc>
        <w:tc>
          <w:tcPr>
            <w:tcW w:w="907" w:type="dxa"/>
          </w:tcPr>
          <w:p w14:paraId="14FE83AD">
            <w:pPr>
              <w:spacing w:after="0" w:line="264" w:lineRule="auto"/>
              <w:jc w:val="center"/>
              <w:rPr>
                <w:highlight w:val="none"/>
              </w:rPr>
            </w:pPr>
            <w:r>
              <w:rPr>
                <w:rFonts w:ascii="黑体" w:hAnsi="黑体" w:eastAsia="黑体"/>
                <w:b w:val="0"/>
                <w:sz w:val="20"/>
                <w:highlight w:val="none"/>
              </w:rPr>
              <w:t>签订日期</w:t>
            </w:r>
          </w:p>
        </w:tc>
        <w:tc>
          <w:tcPr>
            <w:tcW w:w="794" w:type="dxa"/>
          </w:tcPr>
          <w:p w14:paraId="383F2A36">
            <w:pPr>
              <w:spacing w:after="0" w:line="264" w:lineRule="auto"/>
              <w:jc w:val="center"/>
              <w:rPr>
                <w:highlight w:val="none"/>
              </w:rPr>
            </w:pPr>
            <w:r>
              <w:rPr>
                <w:rFonts w:ascii="黑体" w:hAnsi="黑体" w:eastAsia="黑体"/>
                <w:b w:val="0"/>
                <w:sz w:val="20"/>
                <w:highlight w:val="none"/>
              </w:rPr>
              <w:t>合同页码</w:t>
            </w:r>
          </w:p>
        </w:tc>
      </w:tr>
      <w:tr w14:paraId="333B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4E2C3DAD">
            <w:pPr>
              <w:spacing w:after="0" w:line="264" w:lineRule="auto"/>
              <w:jc w:val="center"/>
              <w:rPr>
                <w:highlight w:val="none"/>
              </w:rPr>
            </w:pPr>
            <w:r>
              <w:rPr>
                <w:rFonts w:ascii="仿宋_GB2312" w:hAnsi="仿宋_GB2312" w:eastAsia="仿宋_GB2312"/>
                <w:b w:val="0"/>
                <w:sz w:val="20"/>
                <w:highlight w:val="none"/>
              </w:rPr>
              <w:t>1</w:t>
            </w:r>
          </w:p>
        </w:tc>
        <w:tc>
          <w:tcPr>
            <w:tcW w:w="1701" w:type="dxa"/>
          </w:tcPr>
          <w:p w14:paraId="60371925">
            <w:pPr>
              <w:spacing w:after="0" w:line="264" w:lineRule="auto"/>
              <w:jc w:val="center"/>
              <w:rPr>
                <w:highlight w:val="none"/>
              </w:rPr>
            </w:pPr>
          </w:p>
        </w:tc>
        <w:tc>
          <w:tcPr>
            <w:tcW w:w="1474" w:type="dxa"/>
          </w:tcPr>
          <w:p w14:paraId="1F92C64A">
            <w:pPr>
              <w:spacing w:after="0" w:line="264" w:lineRule="auto"/>
              <w:jc w:val="center"/>
              <w:rPr>
                <w:highlight w:val="none"/>
              </w:rPr>
            </w:pPr>
          </w:p>
        </w:tc>
        <w:tc>
          <w:tcPr>
            <w:tcW w:w="1247" w:type="dxa"/>
          </w:tcPr>
          <w:p w14:paraId="36C91D41">
            <w:pPr>
              <w:spacing w:after="0" w:line="264" w:lineRule="auto"/>
              <w:jc w:val="center"/>
              <w:rPr>
                <w:highlight w:val="none"/>
              </w:rPr>
            </w:pPr>
          </w:p>
        </w:tc>
        <w:tc>
          <w:tcPr>
            <w:tcW w:w="1247" w:type="dxa"/>
          </w:tcPr>
          <w:p w14:paraId="0D995984">
            <w:pPr>
              <w:spacing w:after="0" w:line="264" w:lineRule="auto"/>
              <w:jc w:val="center"/>
              <w:rPr>
                <w:highlight w:val="none"/>
              </w:rPr>
            </w:pPr>
          </w:p>
        </w:tc>
        <w:tc>
          <w:tcPr>
            <w:tcW w:w="907" w:type="dxa"/>
          </w:tcPr>
          <w:p w14:paraId="42AD3C76">
            <w:pPr>
              <w:spacing w:after="0" w:line="264" w:lineRule="auto"/>
              <w:jc w:val="center"/>
              <w:rPr>
                <w:highlight w:val="none"/>
              </w:rPr>
            </w:pPr>
          </w:p>
        </w:tc>
        <w:tc>
          <w:tcPr>
            <w:tcW w:w="907" w:type="dxa"/>
          </w:tcPr>
          <w:p w14:paraId="3BDAD27A">
            <w:pPr>
              <w:spacing w:after="0" w:line="264" w:lineRule="auto"/>
              <w:jc w:val="center"/>
              <w:rPr>
                <w:highlight w:val="none"/>
              </w:rPr>
            </w:pPr>
          </w:p>
        </w:tc>
        <w:tc>
          <w:tcPr>
            <w:tcW w:w="794" w:type="dxa"/>
          </w:tcPr>
          <w:p w14:paraId="6B4559D2">
            <w:pPr>
              <w:spacing w:after="0" w:line="264" w:lineRule="auto"/>
              <w:jc w:val="center"/>
              <w:rPr>
                <w:highlight w:val="none"/>
              </w:rPr>
            </w:pPr>
          </w:p>
        </w:tc>
      </w:tr>
      <w:tr w14:paraId="11D5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3CB5D0D9">
            <w:pPr>
              <w:spacing w:after="0" w:line="264" w:lineRule="auto"/>
              <w:jc w:val="center"/>
              <w:rPr>
                <w:highlight w:val="none"/>
              </w:rPr>
            </w:pPr>
            <w:r>
              <w:rPr>
                <w:rFonts w:ascii="仿宋_GB2312" w:hAnsi="仿宋_GB2312" w:eastAsia="仿宋_GB2312"/>
                <w:b w:val="0"/>
                <w:sz w:val="20"/>
                <w:highlight w:val="none"/>
              </w:rPr>
              <w:t>2</w:t>
            </w:r>
          </w:p>
        </w:tc>
        <w:tc>
          <w:tcPr>
            <w:tcW w:w="1701" w:type="dxa"/>
          </w:tcPr>
          <w:p w14:paraId="6573D159">
            <w:pPr>
              <w:spacing w:after="0" w:line="264" w:lineRule="auto"/>
              <w:jc w:val="center"/>
              <w:rPr>
                <w:highlight w:val="none"/>
              </w:rPr>
            </w:pPr>
          </w:p>
        </w:tc>
        <w:tc>
          <w:tcPr>
            <w:tcW w:w="1474" w:type="dxa"/>
          </w:tcPr>
          <w:p w14:paraId="5DD8E84F">
            <w:pPr>
              <w:spacing w:after="0" w:line="264" w:lineRule="auto"/>
              <w:jc w:val="center"/>
              <w:rPr>
                <w:highlight w:val="none"/>
              </w:rPr>
            </w:pPr>
          </w:p>
        </w:tc>
        <w:tc>
          <w:tcPr>
            <w:tcW w:w="1247" w:type="dxa"/>
          </w:tcPr>
          <w:p w14:paraId="00FFC8F3">
            <w:pPr>
              <w:spacing w:after="0" w:line="264" w:lineRule="auto"/>
              <w:jc w:val="center"/>
              <w:rPr>
                <w:highlight w:val="none"/>
              </w:rPr>
            </w:pPr>
          </w:p>
        </w:tc>
        <w:tc>
          <w:tcPr>
            <w:tcW w:w="1247" w:type="dxa"/>
          </w:tcPr>
          <w:p w14:paraId="10209FAE">
            <w:pPr>
              <w:spacing w:after="0" w:line="264" w:lineRule="auto"/>
              <w:jc w:val="center"/>
              <w:rPr>
                <w:highlight w:val="none"/>
              </w:rPr>
            </w:pPr>
          </w:p>
        </w:tc>
        <w:tc>
          <w:tcPr>
            <w:tcW w:w="907" w:type="dxa"/>
          </w:tcPr>
          <w:p w14:paraId="1A22E04F">
            <w:pPr>
              <w:spacing w:after="0" w:line="264" w:lineRule="auto"/>
              <w:jc w:val="center"/>
              <w:rPr>
                <w:highlight w:val="none"/>
              </w:rPr>
            </w:pPr>
          </w:p>
        </w:tc>
        <w:tc>
          <w:tcPr>
            <w:tcW w:w="907" w:type="dxa"/>
          </w:tcPr>
          <w:p w14:paraId="1D333234">
            <w:pPr>
              <w:spacing w:after="0" w:line="264" w:lineRule="auto"/>
              <w:jc w:val="center"/>
              <w:rPr>
                <w:highlight w:val="none"/>
              </w:rPr>
            </w:pPr>
          </w:p>
        </w:tc>
        <w:tc>
          <w:tcPr>
            <w:tcW w:w="794" w:type="dxa"/>
          </w:tcPr>
          <w:p w14:paraId="6075EC0D">
            <w:pPr>
              <w:spacing w:after="0" w:line="264" w:lineRule="auto"/>
              <w:jc w:val="center"/>
              <w:rPr>
                <w:highlight w:val="none"/>
              </w:rPr>
            </w:pPr>
          </w:p>
        </w:tc>
      </w:tr>
      <w:tr w14:paraId="7BAD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62B34494">
            <w:pPr>
              <w:spacing w:after="0" w:line="264" w:lineRule="auto"/>
              <w:jc w:val="center"/>
              <w:rPr>
                <w:highlight w:val="none"/>
              </w:rPr>
            </w:pPr>
            <w:r>
              <w:rPr>
                <w:rFonts w:ascii="仿宋_GB2312" w:hAnsi="仿宋_GB2312" w:eastAsia="仿宋_GB2312"/>
                <w:b w:val="0"/>
                <w:sz w:val="20"/>
                <w:highlight w:val="none"/>
              </w:rPr>
              <w:t>3</w:t>
            </w:r>
          </w:p>
        </w:tc>
        <w:tc>
          <w:tcPr>
            <w:tcW w:w="1701" w:type="dxa"/>
          </w:tcPr>
          <w:p w14:paraId="5CD1B4EB">
            <w:pPr>
              <w:spacing w:after="0" w:line="264" w:lineRule="auto"/>
              <w:jc w:val="center"/>
              <w:rPr>
                <w:highlight w:val="none"/>
              </w:rPr>
            </w:pPr>
          </w:p>
        </w:tc>
        <w:tc>
          <w:tcPr>
            <w:tcW w:w="1474" w:type="dxa"/>
          </w:tcPr>
          <w:p w14:paraId="2C6D9FB8">
            <w:pPr>
              <w:spacing w:after="0" w:line="264" w:lineRule="auto"/>
              <w:jc w:val="center"/>
              <w:rPr>
                <w:highlight w:val="none"/>
              </w:rPr>
            </w:pPr>
          </w:p>
        </w:tc>
        <w:tc>
          <w:tcPr>
            <w:tcW w:w="1247" w:type="dxa"/>
          </w:tcPr>
          <w:p w14:paraId="15BFD330">
            <w:pPr>
              <w:spacing w:after="0" w:line="264" w:lineRule="auto"/>
              <w:jc w:val="center"/>
              <w:rPr>
                <w:highlight w:val="none"/>
              </w:rPr>
            </w:pPr>
          </w:p>
        </w:tc>
        <w:tc>
          <w:tcPr>
            <w:tcW w:w="1247" w:type="dxa"/>
          </w:tcPr>
          <w:p w14:paraId="37C052D7">
            <w:pPr>
              <w:spacing w:after="0" w:line="264" w:lineRule="auto"/>
              <w:jc w:val="center"/>
              <w:rPr>
                <w:highlight w:val="none"/>
              </w:rPr>
            </w:pPr>
          </w:p>
        </w:tc>
        <w:tc>
          <w:tcPr>
            <w:tcW w:w="907" w:type="dxa"/>
          </w:tcPr>
          <w:p w14:paraId="0D2BED8D">
            <w:pPr>
              <w:spacing w:after="0" w:line="264" w:lineRule="auto"/>
              <w:jc w:val="center"/>
              <w:rPr>
                <w:highlight w:val="none"/>
              </w:rPr>
            </w:pPr>
          </w:p>
        </w:tc>
        <w:tc>
          <w:tcPr>
            <w:tcW w:w="907" w:type="dxa"/>
          </w:tcPr>
          <w:p w14:paraId="0C2911BA">
            <w:pPr>
              <w:spacing w:after="0" w:line="264" w:lineRule="auto"/>
              <w:jc w:val="center"/>
              <w:rPr>
                <w:highlight w:val="none"/>
              </w:rPr>
            </w:pPr>
          </w:p>
        </w:tc>
        <w:tc>
          <w:tcPr>
            <w:tcW w:w="794" w:type="dxa"/>
          </w:tcPr>
          <w:p w14:paraId="10E4A066">
            <w:pPr>
              <w:spacing w:after="0" w:line="264" w:lineRule="auto"/>
              <w:jc w:val="center"/>
              <w:rPr>
                <w:highlight w:val="none"/>
              </w:rPr>
            </w:pPr>
          </w:p>
        </w:tc>
      </w:tr>
      <w:tr w14:paraId="7B252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54241131">
            <w:pPr>
              <w:spacing w:after="0" w:line="264" w:lineRule="auto"/>
              <w:jc w:val="center"/>
              <w:rPr>
                <w:highlight w:val="none"/>
              </w:rPr>
            </w:pPr>
            <w:r>
              <w:rPr>
                <w:rFonts w:ascii="仿宋_GB2312" w:hAnsi="仿宋_GB2312" w:eastAsia="仿宋_GB2312"/>
                <w:b w:val="0"/>
                <w:sz w:val="20"/>
                <w:highlight w:val="none"/>
              </w:rPr>
              <w:t>4</w:t>
            </w:r>
          </w:p>
        </w:tc>
        <w:tc>
          <w:tcPr>
            <w:tcW w:w="1701" w:type="dxa"/>
          </w:tcPr>
          <w:p w14:paraId="4425902B">
            <w:pPr>
              <w:spacing w:after="0" w:line="264" w:lineRule="auto"/>
              <w:jc w:val="center"/>
              <w:rPr>
                <w:highlight w:val="none"/>
              </w:rPr>
            </w:pPr>
          </w:p>
        </w:tc>
        <w:tc>
          <w:tcPr>
            <w:tcW w:w="1474" w:type="dxa"/>
          </w:tcPr>
          <w:p w14:paraId="2AB0B465">
            <w:pPr>
              <w:spacing w:after="0" w:line="264" w:lineRule="auto"/>
              <w:jc w:val="center"/>
              <w:rPr>
                <w:highlight w:val="none"/>
              </w:rPr>
            </w:pPr>
          </w:p>
        </w:tc>
        <w:tc>
          <w:tcPr>
            <w:tcW w:w="1247" w:type="dxa"/>
          </w:tcPr>
          <w:p w14:paraId="44487ABF">
            <w:pPr>
              <w:spacing w:after="0" w:line="264" w:lineRule="auto"/>
              <w:jc w:val="center"/>
              <w:rPr>
                <w:highlight w:val="none"/>
              </w:rPr>
            </w:pPr>
          </w:p>
        </w:tc>
        <w:tc>
          <w:tcPr>
            <w:tcW w:w="1247" w:type="dxa"/>
          </w:tcPr>
          <w:p w14:paraId="5AD73483">
            <w:pPr>
              <w:spacing w:after="0" w:line="264" w:lineRule="auto"/>
              <w:jc w:val="center"/>
              <w:rPr>
                <w:highlight w:val="none"/>
              </w:rPr>
            </w:pPr>
          </w:p>
        </w:tc>
        <w:tc>
          <w:tcPr>
            <w:tcW w:w="907" w:type="dxa"/>
          </w:tcPr>
          <w:p w14:paraId="2F27957D">
            <w:pPr>
              <w:spacing w:after="0" w:line="264" w:lineRule="auto"/>
              <w:jc w:val="center"/>
              <w:rPr>
                <w:highlight w:val="none"/>
              </w:rPr>
            </w:pPr>
          </w:p>
        </w:tc>
        <w:tc>
          <w:tcPr>
            <w:tcW w:w="907" w:type="dxa"/>
          </w:tcPr>
          <w:p w14:paraId="67ADB177">
            <w:pPr>
              <w:spacing w:after="0" w:line="264" w:lineRule="auto"/>
              <w:jc w:val="center"/>
              <w:rPr>
                <w:highlight w:val="none"/>
              </w:rPr>
            </w:pPr>
          </w:p>
        </w:tc>
        <w:tc>
          <w:tcPr>
            <w:tcW w:w="794" w:type="dxa"/>
          </w:tcPr>
          <w:p w14:paraId="40941B3B">
            <w:pPr>
              <w:spacing w:after="0" w:line="264" w:lineRule="auto"/>
              <w:jc w:val="center"/>
              <w:rPr>
                <w:highlight w:val="none"/>
              </w:rPr>
            </w:pPr>
          </w:p>
        </w:tc>
      </w:tr>
      <w:tr w14:paraId="73D5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36AFBB4B">
            <w:pPr>
              <w:spacing w:after="0" w:line="264" w:lineRule="auto"/>
              <w:jc w:val="center"/>
              <w:rPr>
                <w:highlight w:val="none"/>
              </w:rPr>
            </w:pPr>
            <w:r>
              <w:rPr>
                <w:rFonts w:ascii="仿宋_GB2312" w:hAnsi="仿宋_GB2312" w:eastAsia="仿宋_GB2312"/>
                <w:b w:val="0"/>
                <w:sz w:val="20"/>
                <w:highlight w:val="none"/>
              </w:rPr>
              <w:t>5</w:t>
            </w:r>
          </w:p>
        </w:tc>
        <w:tc>
          <w:tcPr>
            <w:tcW w:w="1701" w:type="dxa"/>
          </w:tcPr>
          <w:p w14:paraId="537B8C63">
            <w:pPr>
              <w:spacing w:after="0" w:line="264" w:lineRule="auto"/>
              <w:jc w:val="center"/>
              <w:rPr>
                <w:highlight w:val="none"/>
              </w:rPr>
            </w:pPr>
          </w:p>
        </w:tc>
        <w:tc>
          <w:tcPr>
            <w:tcW w:w="1474" w:type="dxa"/>
          </w:tcPr>
          <w:p w14:paraId="212F1C35">
            <w:pPr>
              <w:spacing w:after="0" w:line="264" w:lineRule="auto"/>
              <w:jc w:val="center"/>
              <w:rPr>
                <w:highlight w:val="none"/>
              </w:rPr>
            </w:pPr>
          </w:p>
        </w:tc>
        <w:tc>
          <w:tcPr>
            <w:tcW w:w="1247" w:type="dxa"/>
          </w:tcPr>
          <w:p w14:paraId="374ED0E1">
            <w:pPr>
              <w:spacing w:after="0" w:line="264" w:lineRule="auto"/>
              <w:jc w:val="center"/>
              <w:rPr>
                <w:highlight w:val="none"/>
              </w:rPr>
            </w:pPr>
          </w:p>
        </w:tc>
        <w:tc>
          <w:tcPr>
            <w:tcW w:w="1247" w:type="dxa"/>
          </w:tcPr>
          <w:p w14:paraId="30CDD291">
            <w:pPr>
              <w:spacing w:after="0" w:line="264" w:lineRule="auto"/>
              <w:jc w:val="center"/>
              <w:rPr>
                <w:highlight w:val="none"/>
              </w:rPr>
            </w:pPr>
          </w:p>
        </w:tc>
        <w:tc>
          <w:tcPr>
            <w:tcW w:w="907" w:type="dxa"/>
          </w:tcPr>
          <w:p w14:paraId="5CDE43CD">
            <w:pPr>
              <w:spacing w:after="0" w:line="264" w:lineRule="auto"/>
              <w:jc w:val="center"/>
              <w:rPr>
                <w:highlight w:val="none"/>
              </w:rPr>
            </w:pPr>
          </w:p>
        </w:tc>
        <w:tc>
          <w:tcPr>
            <w:tcW w:w="907" w:type="dxa"/>
          </w:tcPr>
          <w:p w14:paraId="0EC45787">
            <w:pPr>
              <w:spacing w:after="0" w:line="264" w:lineRule="auto"/>
              <w:jc w:val="center"/>
              <w:rPr>
                <w:highlight w:val="none"/>
              </w:rPr>
            </w:pPr>
          </w:p>
        </w:tc>
        <w:tc>
          <w:tcPr>
            <w:tcW w:w="794" w:type="dxa"/>
          </w:tcPr>
          <w:p w14:paraId="3BC96AEC">
            <w:pPr>
              <w:spacing w:after="0" w:line="264" w:lineRule="auto"/>
              <w:jc w:val="center"/>
              <w:rPr>
                <w:highlight w:val="none"/>
              </w:rPr>
            </w:pPr>
          </w:p>
        </w:tc>
      </w:tr>
    </w:tbl>
    <w:p w14:paraId="00E4795B">
      <w:pPr>
        <w:rPr>
          <w:highlight w:val="none"/>
        </w:rPr>
      </w:pPr>
    </w:p>
    <w:p w14:paraId="6840F988">
      <w:pPr>
        <w:spacing w:line="336" w:lineRule="auto"/>
        <w:ind w:firstLine="560"/>
        <w:rPr>
          <w:highlight w:val="none"/>
        </w:rPr>
      </w:pPr>
      <w:r>
        <w:rPr>
          <w:rFonts w:ascii="仿宋_GB2312" w:hAnsi="仿宋_GB2312" w:eastAsia="仿宋_GB2312"/>
          <w:b w:val="0"/>
          <w:sz w:val="28"/>
          <w:highlight w:val="none"/>
        </w:rPr>
        <w:t>注：项目类型填写"经济责任审计"或"高级管理人员离任审计"；委托单位性质填写"期货公司""证券公司""其他持牌金融机构"或"其他"，用于第九条（四）行业相关性计分；须附合同复印件并标注其在响应文件中的页码。</w:t>
      </w:r>
    </w:p>
    <w:p w14:paraId="509F7267">
      <w:pPr>
        <w:rPr>
          <w:highlight w:val="none"/>
        </w:rPr>
      </w:pPr>
    </w:p>
    <w:p w14:paraId="234A44F7">
      <w:pPr>
        <w:spacing w:before="200" w:after="80"/>
        <w:rPr>
          <w:highlight w:val="none"/>
        </w:rPr>
      </w:pPr>
      <w:r>
        <w:rPr>
          <w:rFonts w:ascii="黑体" w:hAnsi="黑体" w:eastAsia="黑体"/>
          <w:b w:val="0"/>
          <w:sz w:val="28"/>
          <w:highlight w:val="none"/>
        </w:rPr>
        <w:t>附件三：项目组人员配置表（格式）</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474"/>
        <w:gridCol w:w="1020"/>
        <w:gridCol w:w="1701"/>
        <w:gridCol w:w="1247"/>
        <w:gridCol w:w="2381"/>
      </w:tblGrid>
      <w:tr w14:paraId="00DAA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Pr>
          <w:p w14:paraId="71A2FBFF">
            <w:pPr>
              <w:spacing w:after="0" w:line="264" w:lineRule="auto"/>
              <w:jc w:val="center"/>
              <w:rPr>
                <w:highlight w:val="none"/>
              </w:rPr>
            </w:pPr>
            <w:r>
              <w:rPr>
                <w:rFonts w:ascii="黑体" w:hAnsi="黑体" w:eastAsia="黑体"/>
                <w:b w:val="0"/>
                <w:sz w:val="20"/>
                <w:highlight w:val="none"/>
              </w:rPr>
              <w:t>姓名</w:t>
            </w:r>
          </w:p>
        </w:tc>
        <w:tc>
          <w:tcPr>
            <w:tcW w:w="1474" w:type="dxa"/>
          </w:tcPr>
          <w:p w14:paraId="3EB50F57">
            <w:pPr>
              <w:spacing w:after="0" w:line="264" w:lineRule="auto"/>
              <w:jc w:val="center"/>
              <w:rPr>
                <w:highlight w:val="none"/>
              </w:rPr>
            </w:pPr>
            <w:r>
              <w:rPr>
                <w:rFonts w:ascii="黑体" w:hAnsi="黑体" w:eastAsia="黑体"/>
                <w:b w:val="0"/>
                <w:sz w:val="20"/>
                <w:highlight w:val="none"/>
              </w:rPr>
              <w:t>项目角色</w:t>
            </w:r>
          </w:p>
        </w:tc>
        <w:tc>
          <w:tcPr>
            <w:tcW w:w="1020" w:type="dxa"/>
          </w:tcPr>
          <w:p w14:paraId="505E8F5A">
            <w:pPr>
              <w:spacing w:after="0" w:line="264" w:lineRule="auto"/>
              <w:jc w:val="center"/>
              <w:rPr>
                <w:highlight w:val="none"/>
              </w:rPr>
            </w:pPr>
            <w:r>
              <w:rPr>
                <w:rFonts w:ascii="黑体" w:hAnsi="黑体" w:eastAsia="黑体"/>
                <w:b w:val="0"/>
                <w:sz w:val="20"/>
                <w:highlight w:val="none"/>
              </w:rPr>
              <w:t>是否CPA</w:t>
            </w:r>
          </w:p>
        </w:tc>
        <w:tc>
          <w:tcPr>
            <w:tcW w:w="1701" w:type="dxa"/>
          </w:tcPr>
          <w:p w14:paraId="4D3E6A7E">
            <w:pPr>
              <w:spacing w:after="0" w:line="264" w:lineRule="auto"/>
              <w:jc w:val="center"/>
              <w:rPr>
                <w:highlight w:val="none"/>
              </w:rPr>
            </w:pPr>
            <w:r>
              <w:rPr>
                <w:rFonts w:ascii="黑体" w:hAnsi="黑体" w:eastAsia="黑体"/>
                <w:b w:val="0"/>
                <w:sz w:val="20"/>
                <w:highlight w:val="none"/>
              </w:rPr>
              <w:t>CPA执业起始年月</w:t>
            </w:r>
          </w:p>
        </w:tc>
        <w:tc>
          <w:tcPr>
            <w:tcW w:w="1247" w:type="dxa"/>
          </w:tcPr>
          <w:p w14:paraId="24327F02">
            <w:pPr>
              <w:spacing w:after="0" w:line="264" w:lineRule="auto"/>
              <w:jc w:val="center"/>
              <w:rPr>
                <w:highlight w:val="none"/>
              </w:rPr>
            </w:pPr>
            <w:r>
              <w:rPr>
                <w:rFonts w:ascii="黑体" w:hAnsi="黑体" w:eastAsia="黑体"/>
                <w:b w:val="0"/>
                <w:sz w:val="20"/>
                <w:highlight w:val="none"/>
              </w:rPr>
              <w:t>拟投入工时</w:t>
            </w:r>
          </w:p>
        </w:tc>
        <w:tc>
          <w:tcPr>
            <w:tcW w:w="2381" w:type="dxa"/>
          </w:tcPr>
          <w:p w14:paraId="0BE39757">
            <w:pPr>
              <w:spacing w:after="0" w:line="264" w:lineRule="auto"/>
              <w:jc w:val="center"/>
              <w:rPr>
                <w:highlight w:val="none"/>
              </w:rPr>
            </w:pPr>
            <w:r>
              <w:rPr>
                <w:rFonts w:ascii="黑体" w:hAnsi="黑体" w:eastAsia="黑体"/>
                <w:b w:val="0"/>
                <w:sz w:val="20"/>
                <w:highlight w:val="none"/>
              </w:rPr>
              <w:t>类似项目经历</w:t>
            </w:r>
          </w:p>
        </w:tc>
      </w:tr>
      <w:tr w14:paraId="170B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Pr>
          <w:p w14:paraId="68F1CAD3">
            <w:pPr>
              <w:spacing w:after="0" w:line="264" w:lineRule="auto"/>
              <w:jc w:val="center"/>
              <w:rPr>
                <w:highlight w:val="none"/>
              </w:rPr>
            </w:pPr>
          </w:p>
        </w:tc>
        <w:tc>
          <w:tcPr>
            <w:tcW w:w="1474" w:type="dxa"/>
          </w:tcPr>
          <w:p w14:paraId="0BA5EA01">
            <w:pPr>
              <w:spacing w:after="0" w:line="264" w:lineRule="auto"/>
              <w:jc w:val="center"/>
              <w:rPr>
                <w:highlight w:val="none"/>
              </w:rPr>
            </w:pPr>
            <w:r>
              <w:rPr>
                <w:rFonts w:ascii="仿宋_GB2312" w:hAnsi="仿宋_GB2312" w:eastAsia="仿宋_GB2312"/>
                <w:b w:val="0"/>
                <w:sz w:val="20"/>
                <w:highlight w:val="none"/>
              </w:rPr>
              <w:t>项目负责人</w:t>
            </w:r>
          </w:p>
        </w:tc>
        <w:tc>
          <w:tcPr>
            <w:tcW w:w="1020" w:type="dxa"/>
          </w:tcPr>
          <w:p w14:paraId="59A31E03">
            <w:pPr>
              <w:spacing w:after="0" w:line="264" w:lineRule="auto"/>
              <w:jc w:val="center"/>
              <w:rPr>
                <w:highlight w:val="none"/>
              </w:rPr>
            </w:pPr>
          </w:p>
        </w:tc>
        <w:tc>
          <w:tcPr>
            <w:tcW w:w="1701" w:type="dxa"/>
          </w:tcPr>
          <w:p w14:paraId="5A9F5233">
            <w:pPr>
              <w:spacing w:after="0" w:line="264" w:lineRule="auto"/>
              <w:jc w:val="center"/>
              <w:rPr>
                <w:highlight w:val="none"/>
              </w:rPr>
            </w:pPr>
          </w:p>
        </w:tc>
        <w:tc>
          <w:tcPr>
            <w:tcW w:w="1247" w:type="dxa"/>
          </w:tcPr>
          <w:p w14:paraId="410EF1CE">
            <w:pPr>
              <w:spacing w:after="0" w:line="264" w:lineRule="auto"/>
              <w:jc w:val="center"/>
              <w:rPr>
                <w:highlight w:val="none"/>
              </w:rPr>
            </w:pPr>
          </w:p>
        </w:tc>
        <w:tc>
          <w:tcPr>
            <w:tcW w:w="2381" w:type="dxa"/>
          </w:tcPr>
          <w:p w14:paraId="4D4B16DA">
            <w:pPr>
              <w:spacing w:after="0" w:line="264" w:lineRule="auto"/>
              <w:jc w:val="center"/>
              <w:rPr>
                <w:highlight w:val="none"/>
              </w:rPr>
            </w:pPr>
          </w:p>
        </w:tc>
      </w:tr>
      <w:tr w14:paraId="6FF1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Pr>
          <w:p w14:paraId="005B2371">
            <w:pPr>
              <w:spacing w:after="0" w:line="264" w:lineRule="auto"/>
              <w:jc w:val="center"/>
              <w:rPr>
                <w:highlight w:val="none"/>
              </w:rPr>
            </w:pPr>
          </w:p>
        </w:tc>
        <w:tc>
          <w:tcPr>
            <w:tcW w:w="1474" w:type="dxa"/>
          </w:tcPr>
          <w:p w14:paraId="69248591">
            <w:pPr>
              <w:spacing w:after="0" w:line="264" w:lineRule="auto"/>
              <w:jc w:val="center"/>
              <w:rPr>
                <w:highlight w:val="none"/>
              </w:rPr>
            </w:pPr>
            <w:r>
              <w:rPr>
                <w:rFonts w:ascii="仿宋_GB2312" w:hAnsi="仿宋_GB2312" w:eastAsia="仿宋_GB2312"/>
                <w:b w:val="0"/>
                <w:sz w:val="20"/>
                <w:highlight w:val="none"/>
              </w:rPr>
              <w:t>项目组成员</w:t>
            </w:r>
          </w:p>
        </w:tc>
        <w:tc>
          <w:tcPr>
            <w:tcW w:w="1020" w:type="dxa"/>
          </w:tcPr>
          <w:p w14:paraId="0632F211">
            <w:pPr>
              <w:spacing w:after="0" w:line="264" w:lineRule="auto"/>
              <w:jc w:val="center"/>
              <w:rPr>
                <w:highlight w:val="none"/>
              </w:rPr>
            </w:pPr>
          </w:p>
        </w:tc>
        <w:tc>
          <w:tcPr>
            <w:tcW w:w="1701" w:type="dxa"/>
          </w:tcPr>
          <w:p w14:paraId="0DD502B4">
            <w:pPr>
              <w:spacing w:after="0" w:line="264" w:lineRule="auto"/>
              <w:jc w:val="center"/>
              <w:rPr>
                <w:highlight w:val="none"/>
              </w:rPr>
            </w:pPr>
          </w:p>
        </w:tc>
        <w:tc>
          <w:tcPr>
            <w:tcW w:w="1247" w:type="dxa"/>
          </w:tcPr>
          <w:p w14:paraId="1619718D">
            <w:pPr>
              <w:spacing w:after="0" w:line="264" w:lineRule="auto"/>
              <w:jc w:val="center"/>
              <w:rPr>
                <w:highlight w:val="none"/>
              </w:rPr>
            </w:pPr>
          </w:p>
        </w:tc>
        <w:tc>
          <w:tcPr>
            <w:tcW w:w="2381" w:type="dxa"/>
          </w:tcPr>
          <w:p w14:paraId="3886A6DD">
            <w:pPr>
              <w:spacing w:after="0" w:line="264" w:lineRule="auto"/>
              <w:jc w:val="center"/>
              <w:rPr>
                <w:highlight w:val="none"/>
              </w:rPr>
            </w:pPr>
          </w:p>
        </w:tc>
      </w:tr>
      <w:tr w14:paraId="409F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Pr>
          <w:p w14:paraId="20DEFB40">
            <w:pPr>
              <w:spacing w:after="0" w:line="264" w:lineRule="auto"/>
              <w:jc w:val="center"/>
              <w:rPr>
                <w:highlight w:val="none"/>
              </w:rPr>
            </w:pPr>
          </w:p>
        </w:tc>
        <w:tc>
          <w:tcPr>
            <w:tcW w:w="1474" w:type="dxa"/>
          </w:tcPr>
          <w:p w14:paraId="6D8E8134">
            <w:pPr>
              <w:spacing w:after="0" w:line="264" w:lineRule="auto"/>
              <w:jc w:val="center"/>
              <w:rPr>
                <w:highlight w:val="none"/>
              </w:rPr>
            </w:pPr>
            <w:r>
              <w:rPr>
                <w:rFonts w:ascii="仿宋_GB2312" w:hAnsi="仿宋_GB2312" w:eastAsia="仿宋_GB2312"/>
                <w:b w:val="0"/>
                <w:sz w:val="20"/>
                <w:highlight w:val="none"/>
              </w:rPr>
              <w:t>项目组成员</w:t>
            </w:r>
          </w:p>
        </w:tc>
        <w:tc>
          <w:tcPr>
            <w:tcW w:w="1020" w:type="dxa"/>
          </w:tcPr>
          <w:p w14:paraId="3008D2B7">
            <w:pPr>
              <w:spacing w:after="0" w:line="264" w:lineRule="auto"/>
              <w:jc w:val="center"/>
              <w:rPr>
                <w:highlight w:val="none"/>
              </w:rPr>
            </w:pPr>
          </w:p>
        </w:tc>
        <w:tc>
          <w:tcPr>
            <w:tcW w:w="1701" w:type="dxa"/>
          </w:tcPr>
          <w:p w14:paraId="28020EBE">
            <w:pPr>
              <w:spacing w:after="0" w:line="264" w:lineRule="auto"/>
              <w:jc w:val="center"/>
              <w:rPr>
                <w:highlight w:val="none"/>
              </w:rPr>
            </w:pPr>
          </w:p>
        </w:tc>
        <w:tc>
          <w:tcPr>
            <w:tcW w:w="1247" w:type="dxa"/>
          </w:tcPr>
          <w:p w14:paraId="446A041D">
            <w:pPr>
              <w:spacing w:after="0" w:line="264" w:lineRule="auto"/>
              <w:jc w:val="center"/>
              <w:rPr>
                <w:highlight w:val="none"/>
              </w:rPr>
            </w:pPr>
          </w:p>
        </w:tc>
        <w:tc>
          <w:tcPr>
            <w:tcW w:w="2381" w:type="dxa"/>
          </w:tcPr>
          <w:p w14:paraId="0E504D81">
            <w:pPr>
              <w:spacing w:after="0" w:line="264" w:lineRule="auto"/>
              <w:jc w:val="center"/>
              <w:rPr>
                <w:highlight w:val="none"/>
              </w:rPr>
            </w:pPr>
          </w:p>
        </w:tc>
      </w:tr>
      <w:tr w14:paraId="0817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Pr>
          <w:p w14:paraId="105B4ED0">
            <w:pPr>
              <w:spacing w:after="0" w:line="264" w:lineRule="auto"/>
              <w:jc w:val="center"/>
              <w:rPr>
                <w:highlight w:val="none"/>
              </w:rPr>
            </w:pPr>
          </w:p>
        </w:tc>
        <w:tc>
          <w:tcPr>
            <w:tcW w:w="1474" w:type="dxa"/>
          </w:tcPr>
          <w:p w14:paraId="24C8B240">
            <w:pPr>
              <w:spacing w:after="0" w:line="264" w:lineRule="auto"/>
              <w:jc w:val="center"/>
              <w:rPr>
                <w:highlight w:val="none"/>
              </w:rPr>
            </w:pPr>
            <w:r>
              <w:rPr>
                <w:rFonts w:ascii="仿宋_GB2312" w:hAnsi="仿宋_GB2312" w:eastAsia="仿宋_GB2312"/>
                <w:b w:val="0"/>
                <w:sz w:val="20"/>
                <w:highlight w:val="none"/>
              </w:rPr>
              <w:t>一级复核人</w:t>
            </w:r>
          </w:p>
        </w:tc>
        <w:tc>
          <w:tcPr>
            <w:tcW w:w="1020" w:type="dxa"/>
          </w:tcPr>
          <w:p w14:paraId="5AD3F47A">
            <w:pPr>
              <w:spacing w:after="0" w:line="264" w:lineRule="auto"/>
              <w:jc w:val="center"/>
              <w:rPr>
                <w:highlight w:val="none"/>
              </w:rPr>
            </w:pPr>
          </w:p>
        </w:tc>
        <w:tc>
          <w:tcPr>
            <w:tcW w:w="1701" w:type="dxa"/>
          </w:tcPr>
          <w:p w14:paraId="60EF6D6E">
            <w:pPr>
              <w:spacing w:after="0" w:line="264" w:lineRule="auto"/>
              <w:jc w:val="center"/>
              <w:rPr>
                <w:highlight w:val="none"/>
              </w:rPr>
            </w:pPr>
          </w:p>
        </w:tc>
        <w:tc>
          <w:tcPr>
            <w:tcW w:w="1247" w:type="dxa"/>
          </w:tcPr>
          <w:p w14:paraId="31FD3F10">
            <w:pPr>
              <w:spacing w:after="0" w:line="264" w:lineRule="auto"/>
              <w:jc w:val="center"/>
              <w:rPr>
                <w:highlight w:val="none"/>
              </w:rPr>
            </w:pPr>
          </w:p>
        </w:tc>
        <w:tc>
          <w:tcPr>
            <w:tcW w:w="2381" w:type="dxa"/>
          </w:tcPr>
          <w:p w14:paraId="6B2D6587">
            <w:pPr>
              <w:spacing w:after="0" w:line="264" w:lineRule="auto"/>
              <w:jc w:val="center"/>
              <w:rPr>
                <w:highlight w:val="none"/>
              </w:rPr>
            </w:pPr>
          </w:p>
        </w:tc>
      </w:tr>
      <w:tr w14:paraId="5E3A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Pr>
          <w:p w14:paraId="1DCA1A32">
            <w:pPr>
              <w:spacing w:after="0" w:line="264" w:lineRule="auto"/>
              <w:jc w:val="center"/>
              <w:rPr>
                <w:highlight w:val="none"/>
              </w:rPr>
            </w:pPr>
          </w:p>
        </w:tc>
        <w:tc>
          <w:tcPr>
            <w:tcW w:w="1474" w:type="dxa"/>
          </w:tcPr>
          <w:p w14:paraId="62C8213D">
            <w:pPr>
              <w:spacing w:after="0" w:line="264" w:lineRule="auto"/>
              <w:jc w:val="center"/>
              <w:rPr>
                <w:highlight w:val="none"/>
              </w:rPr>
            </w:pPr>
            <w:r>
              <w:rPr>
                <w:rFonts w:ascii="仿宋_GB2312" w:hAnsi="仿宋_GB2312" w:eastAsia="仿宋_GB2312"/>
                <w:b w:val="0"/>
                <w:sz w:val="20"/>
                <w:highlight w:val="none"/>
              </w:rPr>
              <w:t>二级复核人</w:t>
            </w:r>
          </w:p>
        </w:tc>
        <w:tc>
          <w:tcPr>
            <w:tcW w:w="1020" w:type="dxa"/>
          </w:tcPr>
          <w:p w14:paraId="51FBA99B">
            <w:pPr>
              <w:spacing w:after="0" w:line="264" w:lineRule="auto"/>
              <w:jc w:val="center"/>
              <w:rPr>
                <w:highlight w:val="none"/>
              </w:rPr>
            </w:pPr>
          </w:p>
        </w:tc>
        <w:tc>
          <w:tcPr>
            <w:tcW w:w="1701" w:type="dxa"/>
          </w:tcPr>
          <w:p w14:paraId="4061FE2C">
            <w:pPr>
              <w:spacing w:after="0" w:line="264" w:lineRule="auto"/>
              <w:jc w:val="center"/>
              <w:rPr>
                <w:highlight w:val="none"/>
              </w:rPr>
            </w:pPr>
          </w:p>
        </w:tc>
        <w:tc>
          <w:tcPr>
            <w:tcW w:w="1247" w:type="dxa"/>
          </w:tcPr>
          <w:p w14:paraId="102D2061">
            <w:pPr>
              <w:spacing w:after="0" w:line="264" w:lineRule="auto"/>
              <w:jc w:val="center"/>
              <w:rPr>
                <w:highlight w:val="none"/>
              </w:rPr>
            </w:pPr>
          </w:p>
        </w:tc>
        <w:tc>
          <w:tcPr>
            <w:tcW w:w="2381" w:type="dxa"/>
          </w:tcPr>
          <w:p w14:paraId="794554A2">
            <w:pPr>
              <w:spacing w:after="0" w:line="264" w:lineRule="auto"/>
              <w:jc w:val="center"/>
              <w:rPr>
                <w:highlight w:val="none"/>
              </w:rPr>
            </w:pPr>
          </w:p>
        </w:tc>
      </w:tr>
      <w:tr w14:paraId="1C92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Pr>
          <w:p w14:paraId="563829C2">
            <w:pPr>
              <w:spacing w:after="0" w:line="264" w:lineRule="auto"/>
              <w:jc w:val="center"/>
              <w:rPr>
                <w:highlight w:val="none"/>
              </w:rPr>
            </w:pPr>
          </w:p>
        </w:tc>
        <w:tc>
          <w:tcPr>
            <w:tcW w:w="1474" w:type="dxa"/>
          </w:tcPr>
          <w:p w14:paraId="6A2DF408">
            <w:pPr>
              <w:spacing w:after="0" w:line="264" w:lineRule="auto"/>
              <w:jc w:val="center"/>
              <w:rPr>
                <w:highlight w:val="none"/>
              </w:rPr>
            </w:pPr>
            <w:r>
              <w:rPr>
                <w:rFonts w:ascii="仿宋_GB2312" w:hAnsi="仿宋_GB2312" w:eastAsia="仿宋_GB2312"/>
                <w:b w:val="0"/>
                <w:sz w:val="20"/>
                <w:highlight w:val="none"/>
              </w:rPr>
              <w:t>三级复核人</w:t>
            </w:r>
          </w:p>
        </w:tc>
        <w:tc>
          <w:tcPr>
            <w:tcW w:w="1020" w:type="dxa"/>
          </w:tcPr>
          <w:p w14:paraId="566EFB4F">
            <w:pPr>
              <w:spacing w:after="0" w:line="264" w:lineRule="auto"/>
              <w:jc w:val="center"/>
              <w:rPr>
                <w:highlight w:val="none"/>
              </w:rPr>
            </w:pPr>
          </w:p>
        </w:tc>
        <w:tc>
          <w:tcPr>
            <w:tcW w:w="1701" w:type="dxa"/>
          </w:tcPr>
          <w:p w14:paraId="32C1F9ED">
            <w:pPr>
              <w:spacing w:after="0" w:line="264" w:lineRule="auto"/>
              <w:jc w:val="center"/>
              <w:rPr>
                <w:highlight w:val="none"/>
              </w:rPr>
            </w:pPr>
          </w:p>
        </w:tc>
        <w:tc>
          <w:tcPr>
            <w:tcW w:w="1247" w:type="dxa"/>
          </w:tcPr>
          <w:p w14:paraId="660EC98D">
            <w:pPr>
              <w:spacing w:after="0" w:line="264" w:lineRule="auto"/>
              <w:jc w:val="center"/>
              <w:rPr>
                <w:highlight w:val="none"/>
              </w:rPr>
            </w:pPr>
          </w:p>
        </w:tc>
        <w:tc>
          <w:tcPr>
            <w:tcW w:w="2381" w:type="dxa"/>
          </w:tcPr>
          <w:p w14:paraId="600B692A">
            <w:pPr>
              <w:spacing w:after="0" w:line="264" w:lineRule="auto"/>
              <w:jc w:val="center"/>
              <w:rPr>
                <w:highlight w:val="none"/>
              </w:rPr>
            </w:pPr>
          </w:p>
        </w:tc>
      </w:tr>
    </w:tbl>
    <w:p w14:paraId="11AB523D">
      <w:pPr>
        <w:rPr>
          <w:highlight w:val="none"/>
        </w:rPr>
      </w:pPr>
    </w:p>
    <w:p w14:paraId="40E603AA">
      <w:pPr>
        <w:spacing w:line="336" w:lineRule="auto"/>
        <w:ind w:firstLine="560"/>
        <w:rPr>
          <w:highlight w:val="none"/>
        </w:rPr>
      </w:pPr>
      <w:r>
        <w:rPr>
          <w:rFonts w:ascii="仿宋_GB2312" w:hAnsi="仿宋_GB2312" w:eastAsia="仿宋_GB2312"/>
          <w:b w:val="0"/>
          <w:sz w:val="28"/>
          <w:highlight w:val="none"/>
        </w:rPr>
        <w:t>注：须附全部人员的执业证书复印件。三级复核人未填写的，第九条（五）质量控制承诺项不计分。</w:t>
      </w:r>
    </w:p>
    <w:p w14:paraId="31280F17">
      <w:pPr>
        <w:rPr>
          <w:highlight w:val="none"/>
        </w:rPr>
      </w:pPr>
    </w:p>
    <w:p w14:paraId="3446B73A">
      <w:pPr>
        <w:spacing w:before="200" w:after="80"/>
        <w:rPr>
          <w:highlight w:val="none"/>
        </w:rPr>
      </w:pPr>
      <w:r>
        <w:rPr>
          <w:rFonts w:ascii="黑体" w:hAnsi="黑体" w:eastAsia="黑体"/>
          <w:b w:val="0"/>
          <w:sz w:val="28"/>
          <w:highlight w:val="none"/>
        </w:rPr>
        <w:t>附件四：报价表（格式）</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1984"/>
        <w:gridCol w:w="3402"/>
      </w:tblGrid>
      <w:tr w14:paraId="4F5A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3B6FE3C5">
            <w:pPr>
              <w:spacing w:after="0" w:line="264" w:lineRule="auto"/>
              <w:jc w:val="center"/>
              <w:rPr>
                <w:highlight w:val="none"/>
              </w:rPr>
            </w:pPr>
            <w:r>
              <w:rPr>
                <w:rFonts w:ascii="黑体" w:hAnsi="黑体" w:eastAsia="黑体"/>
                <w:b w:val="0"/>
                <w:sz w:val="22"/>
                <w:highlight w:val="none"/>
              </w:rPr>
              <w:t>项目</w:t>
            </w:r>
          </w:p>
        </w:tc>
        <w:tc>
          <w:tcPr>
            <w:tcW w:w="1984" w:type="dxa"/>
          </w:tcPr>
          <w:p w14:paraId="6DA749BF">
            <w:pPr>
              <w:spacing w:after="0" w:line="264" w:lineRule="auto"/>
              <w:jc w:val="center"/>
              <w:rPr>
                <w:highlight w:val="none"/>
              </w:rPr>
            </w:pPr>
            <w:r>
              <w:rPr>
                <w:rFonts w:ascii="黑体" w:hAnsi="黑体" w:eastAsia="黑体"/>
                <w:b w:val="0"/>
                <w:sz w:val="22"/>
                <w:highlight w:val="none"/>
              </w:rPr>
              <w:t>金额（元）</w:t>
            </w:r>
          </w:p>
        </w:tc>
        <w:tc>
          <w:tcPr>
            <w:tcW w:w="3402" w:type="dxa"/>
          </w:tcPr>
          <w:p w14:paraId="3AB10CD8">
            <w:pPr>
              <w:spacing w:after="0" w:line="264" w:lineRule="auto"/>
              <w:jc w:val="center"/>
              <w:rPr>
                <w:highlight w:val="none"/>
              </w:rPr>
            </w:pPr>
            <w:r>
              <w:rPr>
                <w:rFonts w:ascii="黑体" w:hAnsi="黑体" w:eastAsia="黑体"/>
                <w:b w:val="0"/>
                <w:sz w:val="22"/>
                <w:highlight w:val="none"/>
              </w:rPr>
              <w:t>说明</w:t>
            </w:r>
          </w:p>
        </w:tc>
      </w:tr>
      <w:tr w14:paraId="25CAC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2BE9E13C">
            <w:pPr>
              <w:spacing w:after="0" w:line="264" w:lineRule="auto"/>
              <w:jc w:val="center"/>
              <w:rPr>
                <w:highlight w:val="none"/>
              </w:rPr>
            </w:pPr>
            <w:r>
              <w:rPr>
                <w:rFonts w:ascii="仿宋_GB2312" w:hAnsi="仿宋_GB2312" w:eastAsia="仿宋_GB2312"/>
                <w:b w:val="0"/>
                <w:sz w:val="22"/>
                <w:highlight w:val="none"/>
              </w:rPr>
              <w:t>审计服务费（不含税）</w:t>
            </w:r>
          </w:p>
        </w:tc>
        <w:tc>
          <w:tcPr>
            <w:tcW w:w="1984" w:type="dxa"/>
          </w:tcPr>
          <w:p w14:paraId="1CD0CE48">
            <w:pPr>
              <w:spacing w:after="0" w:line="264" w:lineRule="auto"/>
              <w:jc w:val="center"/>
              <w:rPr>
                <w:highlight w:val="none"/>
              </w:rPr>
            </w:pPr>
          </w:p>
        </w:tc>
        <w:tc>
          <w:tcPr>
            <w:tcW w:w="3402" w:type="dxa"/>
          </w:tcPr>
          <w:p w14:paraId="1E9AE076">
            <w:pPr>
              <w:spacing w:after="0" w:line="264" w:lineRule="auto"/>
              <w:jc w:val="left"/>
              <w:rPr>
                <w:highlight w:val="none"/>
              </w:rPr>
            </w:pPr>
          </w:p>
        </w:tc>
      </w:tr>
      <w:tr w14:paraId="632AC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26DA564E">
            <w:pPr>
              <w:spacing w:after="0" w:line="264" w:lineRule="auto"/>
              <w:jc w:val="center"/>
              <w:rPr>
                <w:highlight w:val="none"/>
              </w:rPr>
            </w:pPr>
            <w:r>
              <w:rPr>
                <w:rFonts w:ascii="仿宋_GB2312" w:hAnsi="仿宋_GB2312" w:eastAsia="仿宋_GB2312"/>
                <w:b w:val="0"/>
                <w:sz w:val="22"/>
                <w:highlight w:val="none"/>
              </w:rPr>
              <w:t>税费</w:t>
            </w:r>
          </w:p>
        </w:tc>
        <w:tc>
          <w:tcPr>
            <w:tcW w:w="1984" w:type="dxa"/>
          </w:tcPr>
          <w:p w14:paraId="0AC3EA86">
            <w:pPr>
              <w:spacing w:after="0" w:line="264" w:lineRule="auto"/>
              <w:jc w:val="center"/>
              <w:rPr>
                <w:highlight w:val="none"/>
              </w:rPr>
            </w:pPr>
          </w:p>
        </w:tc>
        <w:tc>
          <w:tcPr>
            <w:tcW w:w="3402" w:type="dxa"/>
          </w:tcPr>
          <w:p w14:paraId="5B7DA030">
            <w:pPr>
              <w:spacing w:after="0" w:line="264" w:lineRule="auto"/>
              <w:jc w:val="left"/>
              <w:rPr>
                <w:highlight w:val="none"/>
              </w:rPr>
            </w:pPr>
            <w:r>
              <w:rPr>
                <w:rFonts w:ascii="仿宋_GB2312" w:hAnsi="仿宋_GB2312" w:eastAsia="仿宋_GB2312"/>
                <w:b w:val="0"/>
                <w:sz w:val="22"/>
                <w:highlight w:val="none"/>
              </w:rPr>
              <w:t>税率________</w:t>
            </w:r>
          </w:p>
        </w:tc>
      </w:tr>
      <w:tr w14:paraId="3F36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24005E5F">
            <w:pPr>
              <w:spacing w:after="0" w:line="264" w:lineRule="auto"/>
              <w:jc w:val="center"/>
              <w:rPr>
                <w:highlight w:val="none"/>
              </w:rPr>
            </w:pPr>
            <w:r>
              <w:rPr>
                <w:rFonts w:ascii="仿宋_GB2312" w:hAnsi="仿宋_GB2312" w:eastAsia="仿宋_GB2312"/>
                <w:b w:val="0"/>
                <w:sz w:val="22"/>
                <w:highlight w:val="none"/>
              </w:rPr>
              <w:t>差旅及现场工作费用</w:t>
            </w:r>
          </w:p>
        </w:tc>
        <w:tc>
          <w:tcPr>
            <w:tcW w:w="1984" w:type="dxa"/>
          </w:tcPr>
          <w:p w14:paraId="5A381BE0">
            <w:pPr>
              <w:spacing w:after="0" w:line="264" w:lineRule="auto"/>
              <w:jc w:val="center"/>
              <w:rPr>
                <w:highlight w:val="none"/>
              </w:rPr>
            </w:pPr>
          </w:p>
        </w:tc>
        <w:tc>
          <w:tcPr>
            <w:tcW w:w="3402" w:type="dxa"/>
          </w:tcPr>
          <w:p w14:paraId="22C8E789">
            <w:pPr>
              <w:spacing w:after="0" w:line="264" w:lineRule="auto"/>
              <w:jc w:val="left"/>
              <w:rPr>
                <w:highlight w:val="none"/>
              </w:rPr>
            </w:pPr>
            <w:r>
              <w:rPr>
                <w:rFonts w:ascii="仿宋_GB2312" w:hAnsi="仿宋_GB2312" w:eastAsia="仿宋_GB2312"/>
                <w:b w:val="0"/>
                <w:sz w:val="22"/>
                <w:highlight w:val="none"/>
              </w:rPr>
              <w:t>含分支机构现场工作</w:t>
            </w:r>
          </w:p>
        </w:tc>
      </w:tr>
      <w:tr w14:paraId="4474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3069B8C1">
            <w:pPr>
              <w:spacing w:after="0" w:line="264" w:lineRule="auto"/>
              <w:jc w:val="center"/>
              <w:rPr>
                <w:highlight w:val="none"/>
              </w:rPr>
            </w:pPr>
            <w:r>
              <w:rPr>
                <w:rFonts w:ascii="仿宋_GB2312" w:hAnsi="仿宋_GB2312" w:eastAsia="仿宋_GB2312"/>
                <w:b w:val="0"/>
                <w:sz w:val="22"/>
                <w:highlight w:val="none"/>
              </w:rPr>
              <w:t>其他费用</w:t>
            </w:r>
          </w:p>
        </w:tc>
        <w:tc>
          <w:tcPr>
            <w:tcW w:w="1984" w:type="dxa"/>
          </w:tcPr>
          <w:p w14:paraId="3173B9B9">
            <w:pPr>
              <w:spacing w:after="0" w:line="264" w:lineRule="auto"/>
              <w:jc w:val="center"/>
              <w:rPr>
                <w:highlight w:val="none"/>
              </w:rPr>
            </w:pPr>
          </w:p>
        </w:tc>
        <w:tc>
          <w:tcPr>
            <w:tcW w:w="3402" w:type="dxa"/>
          </w:tcPr>
          <w:p w14:paraId="493EBE43">
            <w:pPr>
              <w:spacing w:after="0" w:line="264" w:lineRule="auto"/>
              <w:jc w:val="left"/>
              <w:rPr>
                <w:highlight w:val="none"/>
              </w:rPr>
            </w:pPr>
          </w:p>
        </w:tc>
      </w:tr>
      <w:tr w14:paraId="1768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Pr>
          <w:p w14:paraId="45D41C9D">
            <w:pPr>
              <w:spacing w:after="0" w:line="264" w:lineRule="auto"/>
              <w:jc w:val="center"/>
              <w:rPr>
                <w:highlight w:val="none"/>
              </w:rPr>
            </w:pPr>
            <w:r>
              <w:rPr>
                <w:rFonts w:ascii="仿宋_GB2312" w:hAnsi="仿宋_GB2312" w:eastAsia="仿宋_GB2312"/>
                <w:b w:val="0"/>
                <w:sz w:val="22"/>
                <w:highlight w:val="none"/>
              </w:rPr>
              <w:t>合计（含税）</w:t>
            </w:r>
          </w:p>
        </w:tc>
        <w:tc>
          <w:tcPr>
            <w:tcW w:w="1984" w:type="dxa"/>
          </w:tcPr>
          <w:p w14:paraId="49965B2C">
            <w:pPr>
              <w:spacing w:after="0" w:line="264" w:lineRule="auto"/>
              <w:jc w:val="center"/>
              <w:rPr>
                <w:highlight w:val="none"/>
              </w:rPr>
            </w:pPr>
          </w:p>
        </w:tc>
        <w:tc>
          <w:tcPr>
            <w:tcW w:w="3402" w:type="dxa"/>
          </w:tcPr>
          <w:p w14:paraId="7B8DADB0">
            <w:pPr>
              <w:spacing w:after="0" w:line="264" w:lineRule="auto"/>
              <w:jc w:val="left"/>
              <w:rPr>
                <w:highlight w:val="none"/>
              </w:rPr>
            </w:pPr>
            <w:r>
              <w:rPr>
                <w:rFonts w:ascii="仿宋_GB2312" w:hAnsi="仿宋_GB2312" w:eastAsia="仿宋_GB2312"/>
                <w:b w:val="0"/>
                <w:sz w:val="22"/>
                <w:highlight w:val="none"/>
              </w:rPr>
              <w:t>大写：____________________</w:t>
            </w:r>
          </w:p>
        </w:tc>
      </w:tr>
    </w:tbl>
    <w:p w14:paraId="3A88D965">
      <w:pPr>
        <w:rPr>
          <w:highlight w:val="none"/>
        </w:rPr>
      </w:pPr>
    </w:p>
    <w:p w14:paraId="457BD323">
      <w:pPr>
        <w:spacing w:line="336" w:lineRule="auto"/>
        <w:ind w:firstLine="560"/>
        <w:rPr>
          <w:highlight w:val="none"/>
        </w:rPr>
      </w:pPr>
      <w:r>
        <w:rPr>
          <w:rFonts w:ascii="仿宋_GB2312" w:hAnsi="仿宋_GB2312" w:eastAsia="仿宋_GB2312"/>
          <w:b w:val="0"/>
          <w:sz w:val="28"/>
          <w:highlight w:val="none"/>
        </w:rPr>
        <w:t>注：合计金额超过最高限价20万元的，作无效响应处理。本报价为固定总价，成交后不予调整。</w:t>
      </w:r>
    </w:p>
    <w:p w14:paraId="78CAE196">
      <w:pPr>
        <w:rPr>
          <w:highlight w:val="none"/>
        </w:rPr>
      </w:pPr>
    </w:p>
    <w:p w14:paraId="59C8B376">
      <w:pPr>
        <w:spacing w:before="200" w:after="80"/>
        <w:rPr>
          <w:highlight w:val="none"/>
        </w:rPr>
      </w:pPr>
      <w:r>
        <w:rPr>
          <w:rFonts w:ascii="黑体" w:hAnsi="黑体" w:eastAsia="黑体"/>
          <w:b w:val="0"/>
          <w:sz w:val="28"/>
          <w:highlight w:val="none"/>
        </w:rPr>
        <w:t>附件五：承诺函（格式）</w:t>
      </w:r>
    </w:p>
    <w:p w14:paraId="705A9504">
      <w:pPr>
        <w:spacing w:line="336" w:lineRule="auto"/>
        <w:rPr>
          <w:highlight w:val="none"/>
        </w:rPr>
      </w:pPr>
      <w:r>
        <w:rPr>
          <w:rFonts w:ascii="仿宋_GB2312" w:hAnsi="仿宋_GB2312" w:eastAsia="仿宋_GB2312"/>
          <w:b w:val="0"/>
          <w:sz w:val="28"/>
          <w:highlight w:val="none"/>
        </w:rPr>
        <w:t>致：国盛期货有限责任公司</w:t>
      </w:r>
    </w:p>
    <w:p w14:paraId="711E1B1D">
      <w:pPr>
        <w:spacing w:line="336" w:lineRule="auto"/>
        <w:ind w:firstLine="560"/>
        <w:rPr>
          <w:highlight w:val="none"/>
        </w:rPr>
      </w:pPr>
      <w:r>
        <w:rPr>
          <w:rFonts w:ascii="仿宋_GB2312" w:hAnsi="仿宋_GB2312" w:eastAsia="仿宋_GB2312"/>
          <w:b w:val="0"/>
          <w:sz w:val="28"/>
          <w:highlight w:val="none"/>
        </w:rPr>
        <w:t>我方就参与国盛期货有限责任公司首席风险官离任审计服务项目，郑重承诺如下：</w:t>
      </w:r>
    </w:p>
    <w:p w14:paraId="6FEABFDD">
      <w:pPr>
        <w:spacing w:line="336" w:lineRule="auto"/>
        <w:ind w:firstLine="560"/>
        <w:rPr>
          <w:highlight w:val="none"/>
        </w:rPr>
      </w:pPr>
      <w:r>
        <w:rPr>
          <w:rFonts w:ascii="仿宋_GB2312" w:hAnsi="仿宋_GB2312" w:eastAsia="仿宋_GB2312"/>
          <w:b w:val="0"/>
          <w:sz w:val="28"/>
          <w:highlight w:val="none"/>
        </w:rPr>
        <w:t>（一）我方近3年内在经营活动中无重大违法记录，未受到财政部门、证券监督管理机构或注册会计师协会的行政处罚及行业惩戒。</w:t>
      </w:r>
    </w:p>
    <w:p w14:paraId="080969A6">
      <w:pPr>
        <w:spacing w:line="336" w:lineRule="auto"/>
        <w:ind w:firstLine="560"/>
        <w:rPr>
          <w:highlight w:val="none"/>
        </w:rPr>
      </w:pPr>
      <w:r>
        <w:rPr>
          <w:rFonts w:ascii="仿宋_GB2312" w:hAnsi="仿宋_GB2312" w:eastAsia="仿宋_GB2312"/>
          <w:b w:val="0"/>
          <w:sz w:val="28"/>
          <w:highlight w:val="none"/>
        </w:rPr>
        <w:t>（二）我方近3年未为采购人提供过财务外包、代理记账、内部控制咨询服务。</w:t>
      </w:r>
    </w:p>
    <w:p w14:paraId="5D9C8E14">
      <w:pPr>
        <w:spacing w:line="336" w:lineRule="auto"/>
        <w:ind w:firstLine="560"/>
        <w:rPr>
          <w:highlight w:val="none"/>
        </w:rPr>
      </w:pPr>
      <w:r>
        <w:rPr>
          <w:rFonts w:ascii="仿宋_GB2312" w:hAnsi="仿宋_GB2312" w:eastAsia="仿宋_GB2312"/>
          <w:b w:val="0"/>
          <w:sz w:val="28"/>
          <w:highlight w:val="none"/>
        </w:rPr>
        <w:t>（三）我方及拟派项目组全体成员与本项目被审计人不存在任何关联关系或利益冲突，如经查实存在上述情形，我方自愿放弃成交资格并承担由此产生的一切责任。</w:t>
      </w:r>
    </w:p>
    <w:p w14:paraId="6BC352BF">
      <w:pPr>
        <w:spacing w:line="336" w:lineRule="auto"/>
        <w:ind w:firstLine="560"/>
        <w:rPr>
          <w:highlight w:val="none"/>
        </w:rPr>
      </w:pPr>
      <w:r>
        <w:rPr>
          <w:rFonts w:ascii="仿宋_GB2312" w:hAnsi="仿宋_GB2312" w:eastAsia="仿宋_GB2312"/>
          <w:b w:val="0"/>
          <w:sz w:val="28"/>
          <w:highlight w:val="none"/>
        </w:rPr>
        <w:t>（四）我方对审计过程中知悉的采购人经营信息、客户信息及个人信息严格保密，未经采购人书面同意不向任何第三方披露，该义务在合同终止后继续有效。</w:t>
      </w:r>
    </w:p>
    <w:p w14:paraId="0979A2F3">
      <w:pPr>
        <w:spacing w:line="336" w:lineRule="auto"/>
        <w:ind w:firstLine="560"/>
        <w:rPr>
          <w:highlight w:val="none"/>
        </w:rPr>
      </w:pPr>
      <w:r>
        <w:rPr>
          <w:rFonts w:ascii="仿宋_GB2312" w:hAnsi="仿宋_GB2312" w:eastAsia="仿宋_GB2312"/>
          <w:b w:val="0"/>
          <w:sz w:val="28"/>
          <w:highlight w:val="none"/>
        </w:rPr>
        <w:t>（五）我方提交的全部响应文件、业绩清单及证明材料真实、有效，如有虚假，愿承担相应法律责任并接受取消成交资格的处理。</w:t>
      </w:r>
    </w:p>
    <w:p w14:paraId="49E041CC">
      <w:pPr>
        <w:spacing w:line="336" w:lineRule="auto"/>
        <w:rPr>
          <w:highlight w:val="none"/>
        </w:rPr>
      </w:pPr>
      <w:r>
        <w:rPr>
          <w:rFonts w:ascii="仿宋_GB2312" w:hAnsi="仿宋_GB2312" w:eastAsia="仿宋_GB2312"/>
          <w:b w:val="0"/>
          <w:sz w:val="28"/>
          <w:highlight w:val="none"/>
        </w:rPr>
        <w:t>供应商名称（盖章）：________________</w:t>
      </w:r>
    </w:p>
    <w:p w14:paraId="58ACC762">
      <w:pPr>
        <w:spacing w:line="336" w:lineRule="auto"/>
        <w:rPr>
          <w:highlight w:val="none"/>
        </w:rPr>
      </w:pPr>
      <w:r>
        <w:rPr>
          <w:rFonts w:ascii="仿宋_GB2312" w:hAnsi="仿宋_GB2312" w:eastAsia="仿宋_GB2312"/>
          <w:b w:val="0"/>
          <w:sz w:val="28"/>
          <w:highlight w:val="none"/>
        </w:rPr>
        <w:t>法定代表人或授权代表（签字）：________________</w:t>
      </w:r>
    </w:p>
    <w:p w14:paraId="45D14709">
      <w:pPr>
        <w:spacing w:line="336" w:lineRule="auto"/>
        <w:rPr>
          <w:highlight w:val="none"/>
        </w:rPr>
      </w:pPr>
      <w:r>
        <w:rPr>
          <w:rFonts w:ascii="仿宋_GB2312" w:hAnsi="仿宋_GB2312" w:eastAsia="仿宋_GB2312"/>
          <w:b w:val="0"/>
          <w:sz w:val="28"/>
          <w:highlight w:val="none"/>
        </w:rPr>
        <w:t>日期：______年____月____日</w:t>
      </w:r>
    </w:p>
    <w:sectPr>
      <w:pgSz w:w="12240" w:h="15840"/>
      <w:pgMar w:top="1701" w:right="1474" w:bottom="1587" w:left="158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简体">
    <w:altName w:val="黑体"/>
    <w:panose1 w:val="00000000000000000000"/>
    <w:charset w:val="00"/>
    <w:family w:val="auto"/>
    <w:pitch w:val="default"/>
    <w:sig w:usb0="00000000" w:usb1="00000000" w:usb2="00000000" w:usb3="00000000" w:csb0="00000000"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CD7229E"/>
    <w:rsid w:val="1DC173F2"/>
    <w:rsid w:val="6373292C"/>
    <w:rsid w:val="74937850"/>
    <w:rsid w:val="788365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qFormat="1" w:unhideWhenUsed="0" w:uiPriority="70" w:semiHidden="0" w:name="Dark List"/>
    <w:lsdException w:qFormat="1"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qFormat="1"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qFormat="1" w:unhideWhenUsed="0" w:uiPriority="70" w:semiHidden="0" w:name="Dark List Accent 4"/>
    <w:lsdException w:unhideWhenUsed="0" w:uiPriority="71" w:semiHidden="0" w:name="Colorful Shading Accent 4"/>
    <w:lsdException w:qFormat="1"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qFormat="1" w:unhideWhenUsed="0" w:uiPriority="70" w:semiHidden="0" w:name="Dark List Accent 5"/>
    <w:lsdException w:qFormat="1"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qFormat="1"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仿宋_GB2312" w:hAnsi="仿宋_GB2312" w:eastAsia="仿宋_GB2312" w:cstheme="minorBidi"/>
      <w:sz w:val="28"/>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4673</Words>
  <Characters>4928</Characters>
  <Lines>0</Lines>
  <Paragraphs>0</Paragraphs>
  <TotalTime>27</TotalTime>
  <ScaleCrop>false</ScaleCrop>
  <LinksUpToDate>false</LinksUpToDate>
  <CharactersWithSpaces>4932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随风</cp:lastModifiedBy>
  <dcterms:modified xsi:type="dcterms:W3CDTF">2026-08-13T07:47:34Z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eyJoZGlkIjoiMjE1ZjdiZTBlZDJmNmE3MTIzNzAwMDgwYzQ2OGM1YTMiLCJ1c2VySWQiOiIyMzgxNDY3MjUifQ==</vt:lpwstr>
  </property>
  <property fmtid="{D5CDD505-2E9C-101B-9397-08002B2CF9AE}" pid="3" name="KSOProductBuildVer">
    <vt:lpwstr>2052-12.1.0.28043</vt:lpwstr>
  </property>
  <property fmtid="{D5CDD505-2E9C-101B-9397-08002B2CF9AE}" pid="4" name="ICV">
    <vt:lpwstr>8D321B6F56184E138CD7F90CCEDFAC3A_12</vt:lpwstr>
  </property>
</Properties>
</file>